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B0CA" w14:textId="03C57814" w:rsidR="00D15BD5" w:rsidRDefault="00494697">
      <w:r w:rsidRPr="00494697">
        <w:t>How are the equity, initial value, and partial equity methods of consolidation similar and different from one another? What issues should a company consider when choosing one method over another?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2MDU1MTU3MTY3sTBX0lEKTi0uzszPAykwrAUAHZBjWCwAAAA="/>
  </w:docVars>
  <w:rsids>
    <w:rsidRoot w:val="00494697"/>
    <w:rsid w:val="00494697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F1A3"/>
  <w15:chartTrackingRefBased/>
  <w15:docId w15:val="{96DFE3E2-AC96-4823-8BB4-1FB2FBB0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2022-07-14T20:52:00Z</dcterms:created>
  <dcterms:modified xsi:type="dcterms:W3CDTF">2022-07-14T20:52:00Z</dcterms:modified>
</cp:coreProperties>
</file>