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655C" w14:textId="13058829" w:rsidR="009954B8" w:rsidRPr="009954B8" w:rsidRDefault="009954B8" w:rsidP="009954B8">
      <w:r>
        <w:t>Why</w:t>
      </w:r>
      <w:r w:rsidRPr="009954B8">
        <w:t xml:space="preserve"> it is important for business owners to understand financial information, even if they hire an accountant. What business growth decisions, if any, should NOT be based solely on financial records?</w:t>
      </w:r>
    </w:p>
    <w:p w14:paraId="70F8490C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NzI3tzQ1NrIwMTJS0lEKTi0uzszPAykwrAUAEIvz4CwAAAA="/>
  </w:docVars>
  <w:rsids>
    <w:rsidRoot w:val="009954B8"/>
    <w:rsid w:val="009954B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5CC2"/>
  <w15:chartTrackingRefBased/>
  <w15:docId w15:val="{1B7A7CA7-4565-4F7D-8234-BCE80A4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2022-06-22T11:59:00Z</dcterms:created>
  <dcterms:modified xsi:type="dcterms:W3CDTF">2022-06-22T11:59:00Z</dcterms:modified>
</cp:coreProperties>
</file>