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E0A4" w14:textId="10F95A2E" w:rsidR="00D15BD5" w:rsidRPr="00FE19EF" w:rsidRDefault="001C09A3">
      <w:pPr>
        <w:rPr>
          <w:i/>
          <w:iCs/>
        </w:rPr>
      </w:pPr>
      <w:r w:rsidRPr="00FE19EF">
        <w:rPr>
          <w:i/>
          <w:iCs/>
        </w:rPr>
        <w:t>Recreational Cannabis Legalization in Louisiana</w:t>
      </w:r>
    </w:p>
    <w:sectPr w:rsidR="00D15BD5" w:rsidRPr="00FE1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NjQ0NjAxNDM3sjBT0lEKTi0uzszPAykwrAUADhqohywAAAA="/>
  </w:docVars>
  <w:rsids>
    <w:rsidRoot w:val="001C09A3"/>
    <w:rsid w:val="001C09A3"/>
    <w:rsid w:val="00D15BD5"/>
    <w:rsid w:val="00F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E27E"/>
  <w15:chartTrackingRefBased/>
  <w15:docId w15:val="{1F3F73CF-10C9-4F93-9A64-FE2A0C93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2022-05-05T13:32:00Z</dcterms:created>
  <dcterms:modified xsi:type="dcterms:W3CDTF">2022-05-05T13:32:00Z</dcterms:modified>
</cp:coreProperties>
</file>