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8BF" w14:textId="6BF1288A" w:rsidR="00D15BD5" w:rsidRPr="0000641E" w:rsidRDefault="00945422">
      <w:pPr>
        <w:rPr>
          <w:rFonts w:ascii="Arial" w:hAnsi="Arial" w:cs="Arial"/>
          <w:i/>
          <w:iCs/>
        </w:rPr>
      </w:pPr>
      <w:r w:rsidRPr="0000641E">
        <w:rPr>
          <w:rFonts w:ascii="Arial" w:hAnsi="Arial" w:cs="Arial"/>
          <w:i/>
          <w:iCs/>
        </w:rPr>
        <w:t>T</w:t>
      </w:r>
      <w:r w:rsidRPr="0000641E">
        <w:rPr>
          <w:rFonts w:ascii="Arial" w:hAnsi="Arial" w:cs="Arial"/>
          <w:i/>
          <w:iCs/>
        </w:rPr>
        <w:t>he</w:t>
      </w:r>
      <w:r w:rsidRPr="0000641E">
        <w:rPr>
          <w:rFonts w:ascii="Arial" w:hAnsi="Arial" w:cs="Arial"/>
          <w:i/>
          <w:iCs/>
        </w:rPr>
        <w:t xml:space="preserve"> </w:t>
      </w:r>
      <w:r w:rsidRPr="0000641E">
        <w:rPr>
          <w:rFonts w:ascii="Arial" w:hAnsi="Arial" w:cs="Arial"/>
          <w:i/>
          <w:iCs/>
        </w:rPr>
        <w:t>role nurse plays in COVID vaccination mandate, telemedicine, and prescription drug pricing as advocates in the healthcare system.</w:t>
      </w:r>
      <w:r w:rsidRPr="0000641E">
        <w:rPr>
          <w:rFonts w:ascii="Arial" w:hAnsi="Arial" w:cs="Arial"/>
          <w:b/>
          <w:bCs/>
          <w:i/>
          <w:iCs/>
        </w:rPr>
        <w:t xml:space="preserve"> with 2 scholarly references.</w:t>
      </w:r>
    </w:p>
    <w:sectPr w:rsidR="00D15BD5" w:rsidRPr="00006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sLA0tjAwN7U0NjJQ0lEKTi0uzszPAykwrAUAoOIk4CwAAAA="/>
  </w:docVars>
  <w:rsids>
    <w:rsidRoot w:val="00945422"/>
    <w:rsid w:val="0000641E"/>
    <w:rsid w:val="0094542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B5A0"/>
  <w15:chartTrackingRefBased/>
  <w15:docId w15:val="{A4A8E8E6-4127-40B5-9BCB-FE09520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2022-05-16T21:08:00Z</dcterms:created>
  <dcterms:modified xsi:type="dcterms:W3CDTF">2022-05-16T21:09:00Z</dcterms:modified>
</cp:coreProperties>
</file>