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35D6" w14:textId="68ACB81C" w:rsidR="003829DA" w:rsidRPr="00F27A0E" w:rsidRDefault="003829DA" w:rsidP="003829DA">
      <w:pPr>
        <w:rPr>
          <w:rFonts w:ascii="Arial" w:hAnsi="Arial"/>
        </w:rPr>
      </w:pPr>
      <w:bookmarkStart w:id="0" w:name="_GoBack"/>
      <w:bookmarkEnd w:id="0"/>
    </w:p>
    <w:p w14:paraId="4AF6AB4E" w14:textId="77777777" w:rsidR="003829DA" w:rsidRPr="003829DA" w:rsidRDefault="003829DA" w:rsidP="003829DA">
      <w:pPr>
        <w:pStyle w:val="Heading1"/>
        <w:jc w:val="center"/>
        <w:rPr>
          <w:rFonts w:ascii="Tahoma" w:hAnsi="Tahoma" w:cs="Tahoma"/>
        </w:rPr>
      </w:pPr>
      <w:r w:rsidRPr="003829DA">
        <w:rPr>
          <w:rFonts w:ascii="Tahoma" w:hAnsi="Tahoma" w:cs="Tahoma"/>
        </w:rPr>
        <w:t>Assessment Information/Brief 2021-2022</w:t>
      </w:r>
    </w:p>
    <w:p w14:paraId="46766480" w14:textId="46FA5166" w:rsidR="003829DA" w:rsidRDefault="003829DA" w:rsidP="003829DA">
      <w:pPr>
        <w:rPr>
          <w:rFonts w:ascii="Tahoma" w:hAnsi="Tahoma" w:cs="Tahoma"/>
          <w:sz w:val="32"/>
          <w:szCs w:val="32"/>
        </w:rPr>
      </w:pPr>
    </w:p>
    <w:p w14:paraId="0C119A2A" w14:textId="77777777" w:rsidR="003829DA" w:rsidRPr="003829DA" w:rsidRDefault="003829DA" w:rsidP="003829DA">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315"/>
      </w:tblGrid>
      <w:tr w:rsidR="003829DA" w14:paraId="1D4A33EA" w14:textId="77777777" w:rsidTr="005E6CE4">
        <w:tc>
          <w:tcPr>
            <w:tcW w:w="4722" w:type="dxa"/>
          </w:tcPr>
          <w:p w14:paraId="46819B04" w14:textId="66A814F1" w:rsidR="003829DA" w:rsidRPr="004A4DCE" w:rsidRDefault="003829DA" w:rsidP="004A4DCE">
            <w:pPr>
              <w:snapToGrid w:val="0"/>
              <w:spacing w:before="120" w:after="120"/>
              <w:rPr>
                <w:rFonts w:ascii="Tahoma" w:hAnsi="Tahoma" w:cs="Tahoma"/>
                <w:b/>
                <w:bCs/>
              </w:rPr>
            </w:pPr>
            <w:r w:rsidRPr="004A4DCE">
              <w:rPr>
                <w:rFonts w:ascii="Tahoma" w:hAnsi="Tahoma" w:cs="Tahoma"/>
                <w:b/>
                <w:bCs/>
              </w:rPr>
              <w:t>Module Title</w:t>
            </w:r>
          </w:p>
        </w:tc>
        <w:tc>
          <w:tcPr>
            <w:tcW w:w="4298" w:type="dxa"/>
          </w:tcPr>
          <w:p w14:paraId="7524BBEC" w14:textId="364CB74C" w:rsidR="003829DA" w:rsidRPr="007A64D0" w:rsidRDefault="003829DA" w:rsidP="004A4DCE">
            <w:pPr>
              <w:spacing w:before="120" w:after="120"/>
              <w:rPr>
                <w:rFonts w:ascii="Tahoma" w:hAnsi="Tahoma" w:cs="Tahoma"/>
                <w:b/>
                <w:bCs/>
                <w:color w:val="640000"/>
              </w:rPr>
            </w:pPr>
            <w:r w:rsidRPr="007A64D0">
              <w:rPr>
                <w:rFonts w:ascii="Tahoma" w:hAnsi="Tahoma" w:cs="Tahoma"/>
                <w:b/>
                <w:bCs/>
                <w:color w:val="640000"/>
              </w:rPr>
              <w:t>Employment Law for Business</w:t>
            </w:r>
          </w:p>
        </w:tc>
      </w:tr>
      <w:tr w:rsidR="003829DA" w14:paraId="3F420274" w14:textId="77777777" w:rsidTr="005E6CE4">
        <w:tc>
          <w:tcPr>
            <w:tcW w:w="4722" w:type="dxa"/>
          </w:tcPr>
          <w:p w14:paraId="42B65021" w14:textId="22771AD1" w:rsidR="003829DA" w:rsidRPr="004A4DCE" w:rsidRDefault="003829DA" w:rsidP="004A4DCE">
            <w:pPr>
              <w:snapToGrid w:val="0"/>
              <w:spacing w:before="120" w:after="120"/>
              <w:rPr>
                <w:rFonts w:ascii="Tahoma" w:hAnsi="Tahoma" w:cs="Tahoma"/>
                <w:b/>
                <w:bCs/>
              </w:rPr>
            </w:pPr>
            <w:r w:rsidRPr="004A4DCE">
              <w:rPr>
                <w:rFonts w:ascii="Tahoma" w:hAnsi="Tahoma" w:cs="Tahoma"/>
                <w:b/>
                <w:bCs/>
              </w:rPr>
              <w:t>CRN</w:t>
            </w:r>
          </w:p>
        </w:tc>
        <w:tc>
          <w:tcPr>
            <w:tcW w:w="4298" w:type="dxa"/>
          </w:tcPr>
          <w:p w14:paraId="672CDDB3" w14:textId="727B3A0E" w:rsidR="003829DA" w:rsidRPr="007A64D0" w:rsidRDefault="003829DA" w:rsidP="004A4DCE">
            <w:pPr>
              <w:spacing w:before="120" w:after="120"/>
              <w:rPr>
                <w:rFonts w:ascii="Tahoma" w:hAnsi="Tahoma" w:cs="Tahoma"/>
                <w:color w:val="000000" w:themeColor="text1"/>
              </w:rPr>
            </w:pPr>
            <w:r w:rsidRPr="007A64D0">
              <w:rPr>
                <w:rFonts w:ascii="Tahoma" w:hAnsi="Tahoma" w:cs="Tahoma"/>
                <w:color w:val="000000" w:themeColor="text1"/>
              </w:rPr>
              <w:t>53654</w:t>
            </w:r>
          </w:p>
        </w:tc>
      </w:tr>
      <w:tr w:rsidR="003829DA" w14:paraId="529B1B00" w14:textId="77777777" w:rsidTr="005E6CE4">
        <w:tc>
          <w:tcPr>
            <w:tcW w:w="4722" w:type="dxa"/>
          </w:tcPr>
          <w:p w14:paraId="62650197" w14:textId="30005BB0" w:rsidR="003829DA" w:rsidRPr="004A4DCE" w:rsidRDefault="003829DA" w:rsidP="004A4DCE">
            <w:pPr>
              <w:snapToGrid w:val="0"/>
              <w:spacing w:before="120" w:after="120"/>
              <w:rPr>
                <w:rFonts w:ascii="Tahoma" w:hAnsi="Tahoma" w:cs="Tahoma"/>
                <w:b/>
                <w:bCs/>
              </w:rPr>
            </w:pPr>
            <w:r w:rsidRPr="004A4DCE">
              <w:rPr>
                <w:rFonts w:ascii="Tahoma" w:hAnsi="Tahoma" w:cs="Tahoma"/>
                <w:b/>
                <w:bCs/>
              </w:rPr>
              <w:t>Level</w:t>
            </w:r>
          </w:p>
        </w:tc>
        <w:tc>
          <w:tcPr>
            <w:tcW w:w="4298" w:type="dxa"/>
          </w:tcPr>
          <w:p w14:paraId="57FAFBCF" w14:textId="7C6F2058" w:rsidR="003829DA" w:rsidRPr="007A64D0" w:rsidRDefault="003829DA" w:rsidP="004A4DCE">
            <w:pPr>
              <w:spacing w:before="120" w:after="120"/>
              <w:rPr>
                <w:rFonts w:ascii="Tahoma" w:hAnsi="Tahoma" w:cs="Tahoma"/>
                <w:color w:val="640000"/>
              </w:rPr>
            </w:pPr>
            <w:r w:rsidRPr="007A64D0">
              <w:rPr>
                <w:rFonts w:ascii="Tahoma" w:hAnsi="Tahoma" w:cs="Tahoma"/>
                <w:color w:val="000000" w:themeColor="text1"/>
              </w:rPr>
              <w:t>6</w:t>
            </w:r>
          </w:p>
        </w:tc>
      </w:tr>
      <w:tr w:rsidR="003829DA" w14:paraId="5AFC84DF" w14:textId="77777777" w:rsidTr="005E6CE4">
        <w:tc>
          <w:tcPr>
            <w:tcW w:w="4722" w:type="dxa"/>
          </w:tcPr>
          <w:p w14:paraId="2367B0EF" w14:textId="14DF232B" w:rsidR="003829DA" w:rsidRPr="004A4DCE" w:rsidRDefault="003829DA" w:rsidP="004A4DCE">
            <w:pPr>
              <w:snapToGrid w:val="0"/>
              <w:spacing w:before="120" w:after="120"/>
              <w:rPr>
                <w:rFonts w:ascii="Tahoma" w:hAnsi="Tahoma" w:cs="Tahoma"/>
                <w:b/>
                <w:bCs/>
              </w:rPr>
            </w:pPr>
            <w:r w:rsidRPr="004A4DCE">
              <w:rPr>
                <w:rFonts w:ascii="Tahoma" w:hAnsi="Tahoma" w:cs="Tahoma"/>
                <w:b/>
                <w:bCs/>
              </w:rPr>
              <w:t>Assessment Title</w:t>
            </w:r>
          </w:p>
        </w:tc>
        <w:tc>
          <w:tcPr>
            <w:tcW w:w="4298" w:type="dxa"/>
          </w:tcPr>
          <w:p w14:paraId="5BFB83CF" w14:textId="63F09AA5" w:rsidR="003829DA" w:rsidRPr="007A64D0" w:rsidRDefault="005E6CE4" w:rsidP="004A4DCE">
            <w:pPr>
              <w:spacing w:before="120" w:after="120"/>
              <w:rPr>
                <w:rFonts w:ascii="Tahoma" w:hAnsi="Tahoma" w:cs="Tahoma"/>
                <w:b/>
                <w:bCs/>
                <w:color w:val="640000"/>
              </w:rPr>
            </w:pPr>
            <w:r w:rsidRPr="005E6CE4">
              <w:rPr>
                <w:rFonts w:ascii="Tahoma" w:hAnsi="Tahoma" w:cs="Tahoma"/>
                <w:b/>
                <w:bCs/>
                <w:color w:val="640000"/>
              </w:rPr>
              <w:t>Coursework 2</w:t>
            </w:r>
          </w:p>
        </w:tc>
      </w:tr>
      <w:tr w:rsidR="003829DA" w14:paraId="289761F2" w14:textId="77777777" w:rsidTr="005E6CE4">
        <w:trPr>
          <w:trHeight w:val="348"/>
        </w:trPr>
        <w:tc>
          <w:tcPr>
            <w:tcW w:w="4722" w:type="dxa"/>
          </w:tcPr>
          <w:p w14:paraId="248255B3" w14:textId="4182E3BF" w:rsidR="003829DA" w:rsidRPr="004A4DCE" w:rsidRDefault="003829DA" w:rsidP="004A4DCE">
            <w:pPr>
              <w:snapToGrid w:val="0"/>
              <w:spacing w:before="120" w:after="120"/>
              <w:rPr>
                <w:rFonts w:ascii="Tahoma" w:hAnsi="Tahoma" w:cs="Tahoma"/>
                <w:b/>
                <w:bCs/>
              </w:rPr>
            </w:pPr>
            <w:r w:rsidRPr="004A4DCE">
              <w:rPr>
                <w:rFonts w:ascii="Tahoma" w:hAnsi="Tahoma" w:cs="Tahoma"/>
                <w:b/>
                <w:bCs/>
              </w:rPr>
              <w:t>Weighting within the module</w:t>
            </w:r>
          </w:p>
        </w:tc>
        <w:tc>
          <w:tcPr>
            <w:tcW w:w="4298" w:type="dxa"/>
          </w:tcPr>
          <w:p w14:paraId="371E8314" w14:textId="0B53564C" w:rsidR="003829DA" w:rsidRPr="007A64D0" w:rsidRDefault="003829DA" w:rsidP="004A4DCE">
            <w:pPr>
              <w:spacing w:before="120" w:after="120"/>
              <w:rPr>
                <w:rFonts w:ascii="Tahoma" w:hAnsi="Tahoma" w:cs="Tahoma"/>
                <w:color w:val="640000"/>
              </w:rPr>
            </w:pPr>
            <w:r w:rsidRPr="007A64D0">
              <w:rPr>
                <w:rFonts w:ascii="Tahoma" w:hAnsi="Tahoma" w:cs="Tahoma"/>
                <w:color w:val="000000" w:themeColor="text1"/>
              </w:rPr>
              <w:t>This assessment is worth 50% of the overall module mark</w:t>
            </w:r>
          </w:p>
        </w:tc>
      </w:tr>
      <w:tr w:rsidR="003829DA" w14:paraId="5B7BB854" w14:textId="77777777" w:rsidTr="005E6CE4">
        <w:trPr>
          <w:trHeight w:val="348"/>
        </w:trPr>
        <w:tc>
          <w:tcPr>
            <w:tcW w:w="4722" w:type="dxa"/>
          </w:tcPr>
          <w:p w14:paraId="2F129F4B" w14:textId="6AFF72BC" w:rsidR="003829DA" w:rsidRPr="004A4DCE" w:rsidRDefault="003829DA" w:rsidP="004A4DCE">
            <w:pPr>
              <w:snapToGrid w:val="0"/>
              <w:spacing w:before="120" w:after="120"/>
              <w:rPr>
                <w:rFonts w:ascii="Tahoma" w:hAnsi="Tahoma" w:cs="Tahoma"/>
                <w:b/>
                <w:bCs/>
              </w:rPr>
            </w:pPr>
            <w:r w:rsidRPr="004A4DCE">
              <w:rPr>
                <w:rFonts w:ascii="Tahoma" w:hAnsi="Tahoma" w:cs="Tahoma"/>
                <w:b/>
                <w:bCs/>
              </w:rPr>
              <w:t>Submission deadline date and time</w:t>
            </w:r>
          </w:p>
        </w:tc>
        <w:tc>
          <w:tcPr>
            <w:tcW w:w="4298" w:type="dxa"/>
          </w:tcPr>
          <w:p w14:paraId="7875D510" w14:textId="3C3BC679" w:rsidR="003829DA" w:rsidRPr="007A64D0" w:rsidRDefault="003829DA" w:rsidP="007A64D0">
            <w:pPr>
              <w:spacing w:before="120" w:after="240"/>
              <w:rPr>
                <w:rFonts w:ascii="Tahoma" w:hAnsi="Tahoma" w:cs="Tahoma"/>
                <w:b/>
                <w:bCs/>
                <w:color w:val="640000"/>
              </w:rPr>
            </w:pPr>
          </w:p>
        </w:tc>
      </w:tr>
      <w:tr w:rsidR="003829DA" w14:paraId="58458631" w14:textId="77777777" w:rsidTr="005E6CE4">
        <w:trPr>
          <w:trHeight w:val="348"/>
        </w:trPr>
        <w:tc>
          <w:tcPr>
            <w:tcW w:w="9020" w:type="dxa"/>
            <w:gridSpan w:val="2"/>
          </w:tcPr>
          <w:p w14:paraId="4FBCD66D" w14:textId="77777777" w:rsidR="003829DA" w:rsidRPr="003829DA" w:rsidRDefault="003829DA" w:rsidP="004A4DCE">
            <w:pPr>
              <w:spacing w:before="120" w:after="120"/>
              <w:rPr>
                <w:rFonts w:ascii="Tahoma" w:hAnsi="Tahoma" w:cs="Tahoma"/>
                <w:b/>
                <w:bCs/>
              </w:rPr>
            </w:pPr>
            <w:r w:rsidRPr="003829DA">
              <w:rPr>
                <w:rFonts w:ascii="Tahoma" w:hAnsi="Tahoma" w:cs="Tahoma"/>
                <w:b/>
                <w:bCs/>
              </w:rPr>
              <w:t>Module Leader/Assessment</w:t>
            </w:r>
          </w:p>
          <w:p w14:paraId="7641E044" w14:textId="5C39EA3F" w:rsidR="003829DA" w:rsidRPr="003829DA" w:rsidRDefault="003829DA" w:rsidP="007A64D0">
            <w:pPr>
              <w:snapToGrid w:val="0"/>
              <w:spacing w:after="240"/>
              <w:rPr>
                <w:rFonts w:ascii="Tahoma" w:hAnsi="Tahoma" w:cs="Tahoma"/>
              </w:rPr>
            </w:pPr>
            <w:r>
              <w:rPr>
                <w:rFonts w:ascii="Tahoma" w:hAnsi="Tahoma" w:cs="Tahoma"/>
              </w:rPr>
              <w:t xml:space="preserve"> </w:t>
            </w:r>
          </w:p>
        </w:tc>
      </w:tr>
      <w:tr w:rsidR="003829DA" w14:paraId="68738C86" w14:textId="77777777" w:rsidTr="005E6CE4">
        <w:trPr>
          <w:trHeight w:val="348"/>
        </w:trPr>
        <w:tc>
          <w:tcPr>
            <w:tcW w:w="9020" w:type="dxa"/>
            <w:gridSpan w:val="2"/>
          </w:tcPr>
          <w:p w14:paraId="1D9FA1C4" w14:textId="77777777" w:rsidR="003829DA" w:rsidRPr="003829DA" w:rsidRDefault="003829DA" w:rsidP="004A4DCE">
            <w:pPr>
              <w:snapToGrid w:val="0"/>
              <w:spacing w:before="120" w:after="120"/>
              <w:rPr>
                <w:rFonts w:ascii="Tahoma" w:hAnsi="Tahoma" w:cs="Tahoma"/>
                <w:b/>
                <w:bCs/>
                <w:u w:val="single"/>
              </w:rPr>
            </w:pPr>
            <w:r w:rsidRPr="003829DA">
              <w:rPr>
                <w:rFonts w:ascii="Tahoma" w:hAnsi="Tahoma" w:cs="Tahoma"/>
                <w:b/>
                <w:bCs/>
                <w:u w:val="single"/>
              </w:rPr>
              <w:t>How to submit</w:t>
            </w:r>
          </w:p>
          <w:p w14:paraId="74958923" w14:textId="4E9DCC78" w:rsidR="003829DA" w:rsidRPr="003829DA" w:rsidRDefault="003829DA" w:rsidP="004A4DCE">
            <w:pPr>
              <w:snapToGrid w:val="0"/>
              <w:spacing w:before="120" w:after="120"/>
              <w:rPr>
                <w:rFonts w:ascii="Tahoma" w:hAnsi="Tahoma" w:cs="Tahoma"/>
              </w:rPr>
            </w:pPr>
            <w:r w:rsidRPr="003829DA">
              <w:rPr>
                <w:rFonts w:ascii="Tahoma" w:hAnsi="Tahoma" w:cs="Tahoma"/>
              </w:rPr>
              <w:t>You should submit your assessment by the usual method on Turnitin</w:t>
            </w:r>
            <w:r>
              <w:rPr>
                <w:rFonts w:ascii="Tahoma" w:hAnsi="Tahoma" w:cs="Tahoma"/>
              </w:rPr>
              <w:t>.</w:t>
            </w:r>
          </w:p>
          <w:p w14:paraId="042A5E62" w14:textId="193F48B4" w:rsidR="003829DA" w:rsidRPr="003829DA" w:rsidRDefault="003829DA" w:rsidP="007A64D0">
            <w:pPr>
              <w:snapToGrid w:val="0"/>
              <w:spacing w:before="120" w:after="240"/>
              <w:rPr>
                <w:rFonts w:ascii="Tahoma" w:hAnsi="Tahoma" w:cs="Tahoma"/>
              </w:rPr>
            </w:pPr>
            <w:r w:rsidRPr="003829DA">
              <w:rPr>
                <w:rFonts w:ascii="Tahoma" w:hAnsi="Tahoma" w:cs="Tahoma"/>
              </w:rPr>
              <w:t xml:space="preserve">Instructions for submitting work via Turnitin (via Blackboard) are available here: </w:t>
            </w:r>
            <w:hyperlink r:id="rId7" w:history="1">
              <w:r w:rsidR="00724160" w:rsidRPr="00724160">
                <w:rPr>
                  <w:rStyle w:val="Hyperlink"/>
                  <w:rFonts w:ascii="Tahoma" w:hAnsi="Tahoma" w:cs="Tahoma"/>
                </w:rPr>
                <w:t>https://www.salford.ac.uk/skills/skills-e-learning/university-assessments</w:t>
              </w:r>
            </w:hyperlink>
            <w:r w:rsidR="00724160">
              <w:t xml:space="preserve"> </w:t>
            </w:r>
          </w:p>
        </w:tc>
      </w:tr>
      <w:tr w:rsidR="003829DA" w14:paraId="6A80FBD5" w14:textId="77777777" w:rsidTr="005E6CE4">
        <w:trPr>
          <w:trHeight w:val="348"/>
        </w:trPr>
        <w:tc>
          <w:tcPr>
            <w:tcW w:w="9020" w:type="dxa"/>
            <w:gridSpan w:val="2"/>
          </w:tcPr>
          <w:p w14:paraId="4FED1207" w14:textId="624370D9" w:rsidR="00B83CA7" w:rsidRPr="0082175C" w:rsidRDefault="003829DA" w:rsidP="0082175C">
            <w:pPr>
              <w:spacing w:before="120" w:after="120"/>
              <w:rPr>
                <w:rFonts w:ascii="Tahoma" w:hAnsi="Tahoma" w:cs="Tahoma"/>
                <w:b/>
                <w:bCs/>
                <w:u w:val="single"/>
              </w:rPr>
            </w:pPr>
            <w:r w:rsidRPr="0082175C">
              <w:rPr>
                <w:rFonts w:ascii="Tahoma" w:hAnsi="Tahoma" w:cs="Tahoma"/>
                <w:b/>
                <w:bCs/>
                <w:u w:val="single"/>
              </w:rPr>
              <w:t>Assessment task details and instructions</w:t>
            </w:r>
          </w:p>
          <w:p w14:paraId="49BB241C" w14:textId="77777777" w:rsidR="00AA144A" w:rsidRPr="0082175C" w:rsidRDefault="00AA144A" w:rsidP="00AA144A">
            <w:pPr>
              <w:rPr>
                <w:rFonts w:ascii="Tahoma" w:hAnsi="Tahoma" w:cs="Tahoma"/>
                <w:b/>
                <w:bCs/>
                <w:color w:val="000000" w:themeColor="text1"/>
              </w:rPr>
            </w:pPr>
            <w:r w:rsidRPr="0082175C">
              <w:rPr>
                <w:rFonts w:ascii="Tahoma" w:hAnsi="Tahoma" w:cs="Tahoma"/>
                <w:b/>
                <w:bCs/>
                <w:color w:val="000000" w:themeColor="text1"/>
              </w:rPr>
              <w:t>Answer all THREE questions.</w:t>
            </w:r>
          </w:p>
          <w:p w14:paraId="796394D4" w14:textId="688D18E5" w:rsidR="00AA144A" w:rsidRPr="0082175C" w:rsidRDefault="00AA144A" w:rsidP="00BD61DE">
            <w:pPr>
              <w:spacing w:after="240"/>
              <w:rPr>
                <w:rFonts w:ascii="Tahoma" w:hAnsi="Tahoma" w:cs="Tahoma"/>
                <w:b/>
                <w:bCs/>
                <w:color w:val="000000" w:themeColor="text1"/>
              </w:rPr>
            </w:pPr>
            <w:r w:rsidRPr="0082175C">
              <w:rPr>
                <w:rFonts w:ascii="Tahoma" w:hAnsi="Tahoma" w:cs="Tahoma"/>
                <w:b/>
                <w:bCs/>
                <w:color w:val="000000" w:themeColor="text1"/>
              </w:rPr>
              <w:t>All questions carry equal marks.</w:t>
            </w:r>
          </w:p>
          <w:p w14:paraId="043F7DA8" w14:textId="79F0EB5D" w:rsidR="00BD61DE" w:rsidRPr="00DD5290" w:rsidRDefault="00BD61DE" w:rsidP="00BD61DE">
            <w:pPr>
              <w:spacing w:after="120"/>
              <w:rPr>
                <w:rFonts w:ascii="Tahoma" w:hAnsi="Tahoma" w:cs="Tahoma"/>
                <w:b/>
                <w:bCs/>
                <w:color w:val="000000" w:themeColor="text1"/>
                <w:u w:val="single"/>
              </w:rPr>
            </w:pPr>
            <w:r w:rsidRPr="00DD5290">
              <w:rPr>
                <w:rFonts w:ascii="Tahoma" w:hAnsi="Tahoma" w:cs="Tahoma"/>
                <w:b/>
                <w:bCs/>
                <w:color w:val="000000" w:themeColor="text1"/>
                <w:u w:val="single"/>
              </w:rPr>
              <w:t>Question 1</w:t>
            </w:r>
          </w:p>
          <w:p w14:paraId="4D0E294F" w14:textId="77777777" w:rsidR="00DD5290" w:rsidRPr="00DD5290" w:rsidRDefault="00DD5290" w:rsidP="00DD5290">
            <w:pPr>
              <w:pStyle w:val="PlainText"/>
              <w:spacing w:after="240"/>
              <w:jc w:val="both"/>
              <w:rPr>
                <w:rFonts w:ascii="Tahoma" w:hAnsi="Tahoma" w:cs="Tahoma"/>
                <w:bCs/>
                <w:iCs/>
                <w:sz w:val="24"/>
                <w:szCs w:val="24"/>
              </w:rPr>
            </w:pPr>
            <w:r w:rsidRPr="00DD5290">
              <w:rPr>
                <w:rFonts w:ascii="Tahoma" w:hAnsi="Tahoma" w:cs="Tahoma"/>
                <w:bCs/>
                <w:iCs/>
                <w:sz w:val="24"/>
                <w:szCs w:val="24"/>
              </w:rPr>
              <w:t xml:space="preserve">Department for Business, Energy and Industrial Strategy, </w:t>
            </w:r>
            <w:r w:rsidRPr="00DD5290">
              <w:rPr>
                <w:rFonts w:ascii="Tahoma" w:hAnsi="Tahoma" w:cs="Tahoma"/>
                <w:bCs/>
                <w:i/>
                <w:iCs/>
                <w:sz w:val="24"/>
                <w:szCs w:val="24"/>
              </w:rPr>
              <w:t>Employment Status Consultation</w:t>
            </w:r>
            <w:r w:rsidRPr="00DD5290">
              <w:rPr>
                <w:rFonts w:ascii="Tahoma" w:hAnsi="Tahoma" w:cs="Tahoma"/>
                <w:bCs/>
                <w:iCs/>
                <w:sz w:val="24"/>
                <w:szCs w:val="24"/>
              </w:rPr>
              <w:t xml:space="preserve"> (BEIS, 2018) 2</w:t>
            </w:r>
          </w:p>
          <w:p w14:paraId="335395EA" w14:textId="77777777" w:rsidR="00DD5290" w:rsidRPr="00DD5290" w:rsidRDefault="00DD5290" w:rsidP="00DD5290">
            <w:pPr>
              <w:pStyle w:val="PlainText"/>
              <w:spacing w:after="240"/>
              <w:ind w:left="227" w:right="567"/>
              <w:jc w:val="both"/>
              <w:rPr>
                <w:rFonts w:ascii="Tahoma" w:hAnsi="Tahoma" w:cs="Tahoma"/>
                <w:bCs/>
                <w:iCs/>
                <w:sz w:val="24"/>
                <w:szCs w:val="24"/>
              </w:rPr>
            </w:pPr>
            <w:r w:rsidRPr="00DD5290">
              <w:rPr>
                <w:rFonts w:ascii="Tahoma" w:hAnsi="Tahoma" w:cs="Tahoma"/>
                <w:bCs/>
                <w:iCs/>
                <w:sz w:val="24"/>
                <w:szCs w:val="24"/>
              </w:rPr>
              <w:t>“…the current [legal] framework [governing employment status] can often fail to provide the clarity and certainty that individuals and businesses need. This lack of clarity can lead to some people and businesses wasting time and energy trying to understand the rules, and it allows unscrupulous employers and individuals to game the system in order to save on employment costs and taxes.”</w:t>
            </w:r>
          </w:p>
          <w:p w14:paraId="3A2325F2" w14:textId="71737786" w:rsidR="00DD5290" w:rsidRPr="00DD5290" w:rsidRDefault="00DD5290" w:rsidP="00207702">
            <w:pPr>
              <w:pStyle w:val="PlainText"/>
              <w:spacing w:after="360"/>
              <w:jc w:val="both"/>
              <w:rPr>
                <w:rFonts w:ascii="Tahoma" w:hAnsi="Tahoma" w:cs="Tahoma"/>
                <w:bCs/>
                <w:iCs/>
                <w:sz w:val="24"/>
                <w:szCs w:val="24"/>
              </w:rPr>
            </w:pPr>
            <w:r w:rsidRPr="00DD5290">
              <w:rPr>
                <w:rFonts w:ascii="Tahoma" w:hAnsi="Tahoma" w:cs="Tahoma"/>
                <w:b/>
                <w:bCs/>
                <w:iCs/>
                <w:sz w:val="24"/>
                <w:szCs w:val="24"/>
              </w:rPr>
              <w:t xml:space="preserve">Critically discuss </w:t>
            </w:r>
            <w:r w:rsidRPr="00DD5290">
              <w:rPr>
                <w:rFonts w:ascii="Tahoma" w:hAnsi="Tahoma" w:cs="Tahoma"/>
                <w:bCs/>
                <w:iCs/>
                <w:sz w:val="24"/>
                <w:szCs w:val="24"/>
              </w:rPr>
              <w:t>whether the alleged lack of clarity inherent within the law governing employment status truly enables ‘unscrupulous employers to game the system.’</w:t>
            </w:r>
          </w:p>
          <w:p w14:paraId="0FDA43D3" w14:textId="4259D88F" w:rsidR="00DD5290" w:rsidRPr="00DD5290" w:rsidRDefault="00DD5290" w:rsidP="00030ECB">
            <w:pPr>
              <w:spacing w:after="120"/>
              <w:rPr>
                <w:rFonts w:ascii="Tahoma" w:hAnsi="Tahoma" w:cs="Tahoma"/>
                <w:b/>
                <w:bCs/>
                <w:u w:val="single"/>
              </w:rPr>
            </w:pPr>
            <w:r w:rsidRPr="00DD5290">
              <w:rPr>
                <w:rFonts w:ascii="Tahoma" w:hAnsi="Tahoma" w:cs="Tahoma"/>
                <w:b/>
                <w:bCs/>
                <w:u w:val="single"/>
              </w:rPr>
              <w:lastRenderedPageBreak/>
              <w:t xml:space="preserve">Question </w:t>
            </w:r>
            <w:r w:rsidR="001A7FEF">
              <w:rPr>
                <w:rFonts w:ascii="Tahoma" w:hAnsi="Tahoma" w:cs="Tahoma"/>
                <w:b/>
                <w:bCs/>
                <w:u w:val="single"/>
              </w:rPr>
              <w:t>2</w:t>
            </w:r>
          </w:p>
          <w:p w14:paraId="705C692B" w14:textId="3EA5F106" w:rsidR="00DD5290" w:rsidRPr="005854BF" w:rsidRDefault="00DD5290" w:rsidP="00DD5290">
            <w:pPr>
              <w:spacing w:after="240"/>
              <w:rPr>
                <w:rFonts w:ascii="Tahoma" w:hAnsi="Tahoma" w:cs="Tahoma"/>
              </w:rPr>
            </w:pPr>
            <w:r w:rsidRPr="005854BF">
              <w:rPr>
                <w:rFonts w:ascii="Tahoma" w:hAnsi="Tahoma" w:cs="Tahoma"/>
              </w:rPr>
              <w:t xml:space="preserve">Prior to his dismissal, Wojciech </w:t>
            </w:r>
            <w:r w:rsidR="000E3BF0">
              <w:rPr>
                <w:rFonts w:ascii="Tahoma" w:hAnsi="Tahoma" w:cs="Tahoma"/>
              </w:rPr>
              <w:t xml:space="preserve">had </w:t>
            </w:r>
            <w:r w:rsidRPr="005854BF">
              <w:rPr>
                <w:rFonts w:ascii="Tahoma" w:hAnsi="Tahoma" w:cs="Tahoma"/>
              </w:rPr>
              <w:t>worked as a Chamber Music Tutor for the Royal Harrogate Conservatoire for six years. At the start of January 2022, Wojciech liked a tweet from a former employee, which read, “</w:t>
            </w:r>
            <w:r w:rsidRPr="005854BF">
              <w:rPr>
                <w:rFonts w:ascii="Tahoma" w:hAnsi="Tahoma" w:cs="Tahoma"/>
                <w:i/>
                <w:iCs/>
              </w:rPr>
              <w:t>New Year. New Job. Free from incompetence. Happy 2022</w:t>
            </w:r>
            <w:r>
              <w:rPr>
                <w:rFonts w:ascii="Tahoma" w:hAnsi="Tahoma" w:cs="Tahoma"/>
                <w:i/>
                <w:iCs/>
              </w:rPr>
              <w:t xml:space="preserve"> </w:t>
            </w:r>
            <w:r w:rsidRPr="005854BF">
              <w:rPr>
                <w:rFonts w:ascii="Tahoma" w:hAnsi="Tahoma" w:cs="Tahoma"/>
              </w:rPr>
              <w:t>” In addition to liking the tweet, Wojciech replied with the message, “</w:t>
            </w:r>
            <w:r w:rsidRPr="005854BF">
              <w:rPr>
                <w:rFonts w:ascii="Tahoma" w:hAnsi="Tahoma" w:cs="Tahoma"/>
                <w:i/>
                <w:iCs/>
              </w:rPr>
              <w:t>Good luck. Wszystkiego NNajlepszego</w:t>
            </w:r>
            <w:r w:rsidRPr="005854BF">
              <w:rPr>
                <w:rFonts w:ascii="Tahoma" w:hAnsi="Tahoma" w:cs="Tahoma"/>
              </w:rPr>
              <w:t xml:space="preserve"> ” The message was liked and reposted by five of his </w:t>
            </w:r>
            <w:r w:rsidR="00CA6E9D">
              <w:rPr>
                <w:rFonts w:ascii="Tahoma" w:hAnsi="Tahoma" w:cs="Tahoma"/>
              </w:rPr>
              <w:t>1</w:t>
            </w:r>
            <w:r w:rsidRPr="005854BF">
              <w:rPr>
                <w:rFonts w:ascii="Tahoma" w:hAnsi="Tahoma" w:cs="Tahoma"/>
              </w:rPr>
              <w:t>78 followers, including two fellow employees, who brought the tweet to the attention of HR.</w:t>
            </w:r>
          </w:p>
          <w:p w14:paraId="1BC2BDA9" w14:textId="5AA41E72" w:rsidR="00DD5290" w:rsidRPr="005854BF" w:rsidRDefault="00DD5290" w:rsidP="00DD5290">
            <w:pPr>
              <w:spacing w:after="240"/>
              <w:rPr>
                <w:rFonts w:ascii="Tahoma" w:hAnsi="Tahoma" w:cs="Tahoma"/>
              </w:rPr>
            </w:pPr>
            <w:r w:rsidRPr="005854BF">
              <w:rPr>
                <w:rFonts w:ascii="Tahoma" w:hAnsi="Tahoma" w:cs="Tahoma"/>
              </w:rPr>
              <w:t>Following a brief investigation, where little consideration was given to the views of senior members of the Conservatoire, Wojciech was invited to a disciplinary hearing with the Director for a ‘breach of employment policy’.</w:t>
            </w:r>
            <w:r w:rsidR="000E3BF0">
              <w:rPr>
                <w:rFonts w:ascii="Tahoma" w:hAnsi="Tahoma" w:cs="Tahoma"/>
              </w:rPr>
              <w:t xml:space="preserve"> </w:t>
            </w:r>
            <w:r w:rsidRPr="005854BF">
              <w:rPr>
                <w:rFonts w:ascii="Tahoma" w:hAnsi="Tahoma" w:cs="Tahoma"/>
              </w:rPr>
              <w:t xml:space="preserve">At the hearing, Wojciech, who was accompanied by his Union representative, was referred to the Conservatoire’s social media policy. The Conservatoire has a strict social media policy which notes that </w:t>
            </w:r>
            <w:r w:rsidR="00CF5458">
              <w:rPr>
                <w:rFonts w:ascii="Tahoma" w:hAnsi="Tahoma" w:cs="Tahoma"/>
              </w:rPr>
              <w:t>“</w:t>
            </w:r>
            <w:r w:rsidRPr="0085094C">
              <w:rPr>
                <w:rFonts w:ascii="Tahoma" w:hAnsi="Tahoma" w:cs="Tahoma"/>
                <w:i/>
                <w:iCs/>
              </w:rPr>
              <w:t>colleagues who post on social media should clearly stress that all views are personal, and do not represent the opinions of the Conservatoire</w:t>
            </w:r>
            <w:r w:rsidR="00CF5458">
              <w:rPr>
                <w:rFonts w:ascii="Tahoma" w:hAnsi="Tahoma" w:cs="Tahoma"/>
                <w:i/>
                <w:iCs/>
              </w:rPr>
              <w:t>”.</w:t>
            </w:r>
            <w:r w:rsidRPr="005854BF">
              <w:rPr>
                <w:rFonts w:ascii="Tahoma" w:hAnsi="Tahoma" w:cs="Tahoma"/>
              </w:rPr>
              <w:t xml:space="preserve"> The policy lists examples of conduct and gross misconduct, with </w:t>
            </w:r>
            <w:r w:rsidR="00CF5458">
              <w:rPr>
                <w:rFonts w:ascii="Tahoma" w:hAnsi="Tahoma" w:cs="Tahoma"/>
              </w:rPr>
              <w:t>“</w:t>
            </w:r>
            <w:r w:rsidRPr="00CF5458">
              <w:rPr>
                <w:rFonts w:ascii="Tahoma" w:hAnsi="Tahoma" w:cs="Tahoma"/>
                <w:i/>
                <w:iCs/>
              </w:rPr>
              <w:t xml:space="preserve">comments on social media or blog sites which do not seriously affect the dignity of the Conservatoire, such as criticising the Conservatoire or any of </w:t>
            </w:r>
            <w:r w:rsidR="00CF5458">
              <w:rPr>
                <w:rFonts w:ascii="Tahoma" w:hAnsi="Tahoma" w:cs="Tahoma"/>
                <w:i/>
                <w:iCs/>
              </w:rPr>
              <w:t>its</w:t>
            </w:r>
            <w:r w:rsidRPr="00CF5458">
              <w:rPr>
                <w:rFonts w:ascii="Tahoma" w:hAnsi="Tahoma" w:cs="Tahoma"/>
                <w:i/>
                <w:iCs/>
              </w:rPr>
              <w:t xml:space="preserve"> supporters</w:t>
            </w:r>
            <w:r w:rsidR="00CF5458">
              <w:rPr>
                <w:rFonts w:ascii="Tahoma" w:hAnsi="Tahoma" w:cs="Tahoma"/>
              </w:rPr>
              <w:t>”</w:t>
            </w:r>
            <w:r w:rsidRPr="005854BF">
              <w:rPr>
                <w:rFonts w:ascii="Tahoma" w:hAnsi="Tahoma" w:cs="Tahoma"/>
              </w:rPr>
              <w:t xml:space="preserve"> as misconduct. The policy equally states that employees should not bring the Conservatoire into disrepute and conduct which severely damages the reputation of the Conservatoire may lead to dismissal. Amongst the examples provided as bringing the Conservatoire into disrepute are posting sexual/racially indecent offensive images or messages to social media. </w:t>
            </w:r>
          </w:p>
          <w:p w14:paraId="18F2D051" w14:textId="66FD0122" w:rsidR="00DD5290" w:rsidRPr="005854BF" w:rsidRDefault="00DD5290" w:rsidP="00DD5290">
            <w:pPr>
              <w:spacing w:after="240"/>
              <w:rPr>
                <w:rFonts w:ascii="Tahoma" w:hAnsi="Tahoma" w:cs="Tahoma"/>
              </w:rPr>
            </w:pPr>
            <w:r w:rsidRPr="005854BF">
              <w:rPr>
                <w:rFonts w:ascii="Tahoma" w:hAnsi="Tahoma" w:cs="Tahoma"/>
              </w:rPr>
              <w:t xml:space="preserve">Although Wojciech has a public profile, and has previously reposted tweets advertising public events at the Conservatoire, in his official Twitter biography, he simply describes himself as a </w:t>
            </w:r>
            <w:r w:rsidR="00B66859">
              <w:rPr>
                <w:rFonts w:ascii="Tahoma" w:hAnsi="Tahoma" w:cs="Tahoma"/>
              </w:rPr>
              <w:t>“</w:t>
            </w:r>
            <w:r w:rsidRPr="005854BF">
              <w:rPr>
                <w:rFonts w:ascii="Tahoma" w:hAnsi="Tahoma" w:cs="Tahoma"/>
              </w:rPr>
              <w:t>Runner, Devoted Father, Music Lover and Haphazard Barista”. Nonetheless, during the hearing, it was asserted that in reposting public events, his account was inextricably linked to the Conservatoire, and his actions constituted gross misconduct capable of destroying the relationship of mutual trust and confidence between the employer and employee.</w:t>
            </w:r>
          </w:p>
          <w:p w14:paraId="362E77B0" w14:textId="50A546F3" w:rsidR="00DD5290" w:rsidRPr="005854BF" w:rsidRDefault="00DD5290" w:rsidP="00DD5290">
            <w:pPr>
              <w:spacing w:after="240"/>
              <w:rPr>
                <w:rFonts w:ascii="Tahoma" w:hAnsi="Tahoma" w:cs="Tahoma"/>
              </w:rPr>
            </w:pPr>
            <w:r w:rsidRPr="005854BF">
              <w:rPr>
                <w:rFonts w:ascii="Tahoma" w:hAnsi="Tahoma" w:cs="Tahoma"/>
              </w:rPr>
              <w:t xml:space="preserve">Following the hearing, Wojciech expressed his sincere regret at liking the post, and clarified that he was only seeking to provide his support to a close friend and former colleague in her new post. He also stressed that he did not share his friend’s views, nor did he intend to suggest that by liking the tweet, he was of the opinion that those in charge of the Conservatoire were incompetent. He also promised to remove the tweet immediately, and confirmed that he would avoid liking or posting anything that would potentially cause harm to the Conservatoire in the future. </w:t>
            </w:r>
          </w:p>
          <w:p w14:paraId="69318AC0" w14:textId="44B150F9" w:rsidR="00DD5290" w:rsidRPr="005854BF" w:rsidRDefault="00DD5290" w:rsidP="00DD5290">
            <w:pPr>
              <w:spacing w:after="240"/>
              <w:rPr>
                <w:rFonts w:ascii="Tahoma" w:hAnsi="Tahoma" w:cs="Tahoma"/>
              </w:rPr>
            </w:pPr>
            <w:r w:rsidRPr="005854BF">
              <w:rPr>
                <w:rFonts w:ascii="Tahoma" w:hAnsi="Tahoma" w:cs="Tahoma"/>
              </w:rPr>
              <w:t>Whilst unacceptable, given his unblemished record and length of service, Wojciech was informed the most likely course of action would be a written formal warning.</w:t>
            </w:r>
            <w:r w:rsidR="00E43DC5">
              <w:rPr>
                <w:rFonts w:ascii="Tahoma" w:hAnsi="Tahoma" w:cs="Tahoma"/>
              </w:rPr>
              <w:t xml:space="preserve"> </w:t>
            </w:r>
            <w:r w:rsidRPr="005854BF">
              <w:rPr>
                <w:rFonts w:ascii="Tahoma" w:hAnsi="Tahoma" w:cs="Tahoma"/>
              </w:rPr>
              <w:t xml:space="preserve">However, on the Director’s receipt of advice from Human Resources </w:t>
            </w:r>
            <w:r w:rsidRPr="002D7ED1">
              <w:rPr>
                <w:rFonts w:ascii="Tahoma" w:hAnsi="Tahoma" w:cs="Tahoma"/>
              </w:rPr>
              <w:t xml:space="preserve">regarding </w:t>
            </w:r>
            <w:r w:rsidRPr="005854BF">
              <w:rPr>
                <w:rFonts w:ascii="Tahoma" w:hAnsi="Tahoma" w:cs="Tahoma"/>
              </w:rPr>
              <w:t>his alleged</w:t>
            </w:r>
            <w:r w:rsidRPr="002D7ED1">
              <w:rPr>
                <w:rFonts w:ascii="Tahoma" w:hAnsi="Tahoma" w:cs="Tahoma"/>
              </w:rPr>
              <w:t xml:space="preserve"> culpability, </w:t>
            </w:r>
            <w:r w:rsidRPr="005854BF">
              <w:rPr>
                <w:rFonts w:ascii="Tahoma" w:hAnsi="Tahoma" w:cs="Tahoma"/>
              </w:rPr>
              <w:t>Wojciech was summarily dismissed for gross misconduct, with the Director reminding him of his right to appeal.</w:t>
            </w:r>
          </w:p>
          <w:p w14:paraId="2CA4E388" w14:textId="5BACFEE5" w:rsidR="00DD5290" w:rsidRPr="005854BF" w:rsidRDefault="00DD5290" w:rsidP="00DD5290">
            <w:pPr>
              <w:spacing w:after="240"/>
              <w:rPr>
                <w:rFonts w:ascii="Tahoma" w:hAnsi="Tahoma" w:cs="Tahoma"/>
              </w:rPr>
            </w:pPr>
            <w:r w:rsidRPr="005854BF">
              <w:rPr>
                <w:rFonts w:ascii="Tahoma" w:hAnsi="Tahoma" w:cs="Tahoma"/>
              </w:rPr>
              <w:lastRenderedPageBreak/>
              <w:t xml:space="preserve">Wojciech subsequently sought to appeal the </w:t>
            </w:r>
            <w:r w:rsidR="00F03DD8">
              <w:rPr>
                <w:rFonts w:ascii="Tahoma" w:hAnsi="Tahoma" w:cs="Tahoma"/>
              </w:rPr>
              <w:t>dismissal, yet o</w:t>
            </w:r>
            <w:r w:rsidRPr="005854BF">
              <w:rPr>
                <w:rFonts w:ascii="Tahoma" w:hAnsi="Tahoma" w:cs="Tahoma"/>
              </w:rPr>
              <w:t>n being provided with the appeal date, his Union representative confirmed that he would not be able to attend, therefore Wojciech requested an alternative date. The request was refused, with the appeal process undertaken by both the Chairman of the Board of Governors and the Director.</w:t>
            </w:r>
            <w:r>
              <w:rPr>
                <w:rFonts w:ascii="Tahoma" w:hAnsi="Tahoma" w:cs="Tahoma"/>
              </w:rPr>
              <w:t xml:space="preserve"> </w:t>
            </w:r>
            <w:r w:rsidRPr="005854BF">
              <w:rPr>
                <w:rFonts w:ascii="Tahoma" w:hAnsi="Tahoma" w:cs="Tahoma"/>
              </w:rPr>
              <w:t>After a cursory review of the original evidence, they upheld the decision to dismiss</w:t>
            </w:r>
            <w:r>
              <w:rPr>
                <w:rFonts w:ascii="Tahoma" w:hAnsi="Tahoma" w:cs="Tahoma"/>
              </w:rPr>
              <w:t xml:space="preserve">, with </w:t>
            </w:r>
            <w:r w:rsidRPr="005854BF">
              <w:rPr>
                <w:rFonts w:ascii="Tahoma" w:hAnsi="Tahoma" w:cs="Tahoma"/>
              </w:rPr>
              <w:t>Wojciech’s</w:t>
            </w:r>
            <w:r>
              <w:rPr>
                <w:rFonts w:ascii="Tahoma" w:hAnsi="Tahoma" w:cs="Tahoma"/>
              </w:rPr>
              <w:t xml:space="preserve"> contract terminated summarily. </w:t>
            </w:r>
          </w:p>
          <w:p w14:paraId="28E8694F" w14:textId="4D6A528C" w:rsidR="00AA144A" w:rsidRPr="005F5D2D" w:rsidRDefault="00DD5290" w:rsidP="005F5D2D">
            <w:pPr>
              <w:spacing w:after="360"/>
              <w:rPr>
                <w:rFonts w:ascii="Tahoma" w:hAnsi="Tahoma" w:cs="Tahoma"/>
                <w:b/>
                <w:bCs/>
              </w:rPr>
            </w:pPr>
            <w:r w:rsidRPr="005854BF">
              <w:rPr>
                <w:rFonts w:ascii="Tahoma" w:hAnsi="Tahoma" w:cs="Tahoma"/>
                <w:b/>
                <w:bCs/>
              </w:rPr>
              <w:t xml:space="preserve">Advise the Royal Harrogate Conservatoire as to any possible liability arising out of Wojciech’s dismissal. </w:t>
            </w:r>
          </w:p>
          <w:p w14:paraId="234259F8" w14:textId="57377304" w:rsidR="00AA144A" w:rsidRDefault="00BD61DE" w:rsidP="0082175C">
            <w:pPr>
              <w:spacing w:after="120"/>
              <w:rPr>
                <w:rFonts w:ascii="Tahoma" w:hAnsi="Tahoma" w:cs="Tahoma"/>
                <w:b/>
                <w:bCs/>
                <w:color w:val="000000" w:themeColor="text1"/>
                <w:u w:val="single"/>
              </w:rPr>
            </w:pPr>
            <w:r w:rsidRPr="00BD61DE">
              <w:rPr>
                <w:rFonts w:ascii="Tahoma" w:hAnsi="Tahoma" w:cs="Tahoma"/>
                <w:b/>
                <w:bCs/>
                <w:color w:val="000000" w:themeColor="text1"/>
                <w:u w:val="single"/>
              </w:rPr>
              <w:t>Question Three</w:t>
            </w:r>
          </w:p>
          <w:p w14:paraId="45A06301" w14:textId="77777777" w:rsidR="00BD61DE" w:rsidRPr="00BD61DE" w:rsidRDefault="00BD61DE" w:rsidP="00BD61DE">
            <w:pPr>
              <w:spacing w:after="120"/>
              <w:rPr>
                <w:rFonts w:ascii="Tahoma" w:hAnsi="Tahoma" w:cs="Tahoma"/>
                <w:color w:val="000000" w:themeColor="text1"/>
              </w:rPr>
            </w:pPr>
            <w:r w:rsidRPr="00BD61DE">
              <w:rPr>
                <w:rFonts w:ascii="Tahoma" w:hAnsi="Tahoma" w:cs="Tahoma"/>
                <w:color w:val="000000" w:themeColor="text1"/>
              </w:rPr>
              <w:t>Gavin Mansfield, ‘The Public Interest Disclosure Act’ (1999) 149 NLJ 1658</w:t>
            </w:r>
          </w:p>
          <w:p w14:paraId="35030A3C" w14:textId="2BF0CD6F" w:rsidR="00BD61DE" w:rsidRPr="00BD61DE" w:rsidRDefault="00BD61DE" w:rsidP="00BD61DE">
            <w:pPr>
              <w:ind w:left="227"/>
              <w:rPr>
                <w:rFonts w:ascii="Tahoma" w:hAnsi="Tahoma" w:cs="Tahoma"/>
                <w:i/>
                <w:iCs/>
                <w:color w:val="000000" w:themeColor="text1"/>
              </w:rPr>
            </w:pPr>
            <w:r w:rsidRPr="00BD61DE">
              <w:rPr>
                <w:rFonts w:ascii="Tahoma" w:hAnsi="Tahoma" w:cs="Tahoma"/>
                <w:i/>
                <w:iCs/>
                <w:color w:val="000000" w:themeColor="text1"/>
              </w:rPr>
              <w:t>“…the Act is not a licence for disgruntled workers to air any grievance in the media. The Act achieves a balance between the interests of the public, workers and employers.”</w:t>
            </w:r>
          </w:p>
          <w:p w14:paraId="50AC76B7" w14:textId="77777777" w:rsidR="00BD61DE" w:rsidRPr="00BD61DE" w:rsidRDefault="00BD61DE" w:rsidP="00BD61DE">
            <w:pPr>
              <w:rPr>
                <w:rFonts w:ascii="Tahoma" w:hAnsi="Tahoma" w:cs="Tahoma"/>
                <w:b/>
                <w:bCs/>
                <w:color w:val="000000" w:themeColor="text1"/>
                <w:u w:val="single"/>
              </w:rPr>
            </w:pPr>
          </w:p>
          <w:p w14:paraId="05444024" w14:textId="16BB8DCE" w:rsidR="00BD61DE" w:rsidRPr="003479B9" w:rsidRDefault="00A73A62" w:rsidP="00BD61DE">
            <w:pPr>
              <w:spacing w:after="360"/>
              <w:rPr>
                <w:rFonts w:ascii="Tahoma" w:hAnsi="Tahoma" w:cs="Tahoma"/>
                <w:color w:val="000000" w:themeColor="text1"/>
              </w:rPr>
            </w:pPr>
            <w:r w:rsidRPr="003479B9">
              <w:rPr>
                <w:rFonts w:ascii="Tahoma" w:hAnsi="Tahoma" w:cs="Tahoma"/>
                <w:color w:val="000000" w:themeColor="text1"/>
              </w:rPr>
              <w:t xml:space="preserve">In light of the amendments made to the Employment Rights Act 1996 by the </w:t>
            </w:r>
            <w:r w:rsidRPr="003479B9">
              <w:rPr>
                <w:rFonts w:ascii="Tahoma" w:hAnsi="Tahoma" w:cs="Tahoma" w:hint="eastAsia"/>
                <w:color w:val="000000" w:themeColor="text1"/>
              </w:rPr>
              <w:t>Enterprise and Regulatory Reform Act 2013</w:t>
            </w:r>
            <w:r w:rsidRPr="003479B9">
              <w:rPr>
                <w:rFonts w:ascii="Tahoma" w:hAnsi="Tahoma" w:cs="Tahoma"/>
                <w:color w:val="000000" w:themeColor="text1"/>
              </w:rPr>
              <w:t>, c</w:t>
            </w:r>
            <w:r w:rsidR="00BD61DE" w:rsidRPr="003479B9">
              <w:rPr>
                <w:rFonts w:ascii="Tahoma" w:hAnsi="Tahoma" w:cs="Tahoma"/>
                <w:color w:val="000000" w:themeColor="text1"/>
              </w:rPr>
              <w:t xml:space="preserve">ritically evaluate whether the protected interest disclosure provisions </w:t>
            </w:r>
            <w:r w:rsidRPr="003479B9">
              <w:rPr>
                <w:rFonts w:ascii="Tahoma" w:hAnsi="Tahoma" w:cs="Tahoma"/>
                <w:color w:val="000000" w:themeColor="text1"/>
              </w:rPr>
              <w:t>continue to ‘balance the interests of the public and</w:t>
            </w:r>
            <w:r w:rsidR="00F03DD8">
              <w:rPr>
                <w:rFonts w:ascii="Tahoma" w:hAnsi="Tahoma" w:cs="Tahoma"/>
                <w:color w:val="000000" w:themeColor="text1"/>
              </w:rPr>
              <w:t xml:space="preserve"> </w:t>
            </w:r>
            <w:r w:rsidRPr="003479B9">
              <w:rPr>
                <w:rFonts w:ascii="Tahoma" w:hAnsi="Tahoma" w:cs="Tahoma"/>
                <w:color w:val="000000" w:themeColor="text1"/>
              </w:rPr>
              <w:t xml:space="preserve">[the] employer’ and provide </w:t>
            </w:r>
            <w:r w:rsidR="00BD61DE" w:rsidRPr="003479B9">
              <w:rPr>
                <w:rFonts w:ascii="Tahoma" w:hAnsi="Tahoma" w:cs="Tahoma"/>
                <w:color w:val="000000" w:themeColor="text1"/>
              </w:rPr>
              <w:t>appropriate legal protection for employees who blow the whistle.</w:t>
            </w:r>
          </w:p>
          <w:p w14:paraId="323A937E" w14:textId="156ABC9E" w:rsidR="003829DA" w:rsidRPr="003829DA" w:rsidRDefault="003829DA" w:rsidP="004A4DCE">
            <w:pPr>
              <w:spacing w:before="120" w:after="240"/>
              <w:rPr>
                <w:rFonts w:ascii="Tahoma" w:hAnsi="Tahoma" w:cs="Tahoma"/>
              </w:rPr>
            </w:pPr>
            <w:r w:rsidRPr="003829DA">
              <w:rPr>
                <w:rFonts w:ascii="Tahoma" w:hAnsi="Tahoma" w:cs="Tahoma"/>
              </w:rPr>
              <w:t xml:space="preserve">Maximum </w:t>
            </w:r>
            <w:r w:rsidR="00AA144A" w:rsidRPr="00722BDC">
              <w:rPr>
                <w:rFonts w:ascii="Tahoma" w:hAnsi="Tahoma" w:cs="Tahoma"/>
                <w:b/>
                <w:bCs/>
              </w:rPr>
              <w:t>2</w:t>
            </w:r>
            <w:r w:rsidR="005E6CE4" w:rsidRPr="00722BDC">
              <w:rPr>
                <w:rFonts w:ascii="Tahoma" w:hAnsi="Tahoma" w:cs="Tahoma"/>
                <w:b/>
                <w:bCs/>
              </w:rPr>
              <w:t>0</w:t>
            </w:r>
            <w:r w:rsidR="00722BDC" w:rsidRPr="00722BDC">
              <w:rPr>
                <w:rFonts w:ascii="Tahoma" w:hAnsi="Tahoma" w:cs="Tahoma"/>
                <w:b/>
                <w:bCs/>
              </w:rPr>
              <w:t>0</w:t>
            </w:r>
            <w:r w:rsidR="005E6CE4" w:rsidRPr="00722BDC">
              <w:rPr>
                <w:rFonts w:ascii="Tahoma" w:hAnsi="Tahoma" w:cs="Tahoma"/>
                <w:b/>
                <w:bCs/>
              </w:rPr>
              <w:t>0</w:t>
            </w:r>
            <w:r w:rsidRPr="003829DA">
              <w:rPr>
                <w:rFonts w:ascii="Tahoma" w:hAnsi="Tahoma" w:cs="Tahoma"/>
                <w:b/>
                <w:bCs/>
              </w:rPr>
              <w:t xml:space="preserve"> words</w:t>
            </w:r>
            <w:r w:rsidRPr="003829DA">
              <w:rPr>
                <w:rFonts w:ascii="Tahoma" w:hAnsi="Tahoma" w:cs="Tahoma"/>
              </w:rPr>
              <w:t xml:space="preserve"> (plus 10% allowance, i.e.</w:t>
            </w:r>
            <w:r w:rsidRPr="003829DA">
              <w:rPr>
                <w:rFonts w:ascii="Tahoma" w:hAnsi="Tahoma" w:cs="Tahoma"/>
                <w:b/>
                <w:bCs/>
              </w:rPr>
              <w:t>NO MORE</w:t>
            </w:r>
            <w:r w:rsidRPr="003829DA">
              <w:rPr>
                <w:rFonts w:ascii="Tahoma" w:hAnsi="Tahoma" w:cs="Tahoma"/>
              </w:rPr>
              <w:t xml:space="preserve"> than </w:t>
            </w:r>
            <w:r w:rsidR="00013AB5">
              <w:rPr>
                <w:rFonts w:ascii="Tahoma" w:hAnsi="Tahoma" w:cs="Tahoma"/>
                <w:b/>
                <w:bCs/>
              </w:rPr>
              <w:t>2200</w:t>
            </w:r>
            <w:r w:rsidRPr="003829DA">
              <w:rPr>
                <w:rFonts w:ascii="Tahoma" w:hAnsi="Tahoma" w:cs="Tahoma"/>
              </w:rPr>
              <w:t xml:space="preserve"> total words)</w:t>
            </w:r>
          </w:p>
          <w:p w14:paraId="1F05A284" w14:textId="77777777" w:rsidR="005E6CE4" w:rsidRDefault="003829DA" w:rsidP="007A64D0">
            <w:pPr>
              <w:spacing w:before="120" w:after="360"/>
              <w:rPr>
                <w:rFonts w:ascii="Tahoma" w:hAnsi="Tahoma" w:cs="Tahoma"/>
              </w:rPr>
            </w:pPr>
            <w:r w:rsidRPr="003829DA">
              <w:rPr>
                <w:rFonts w:ascii="Tahoma" w:hAnsi="Tahoma" w:cs="Tahoma"/>
              </w:rPr>
              <w:t xml:space="preserve">NB: The bibliography is </w:t>
            </w:r>
            <w:r w:rsidRPr="003829DA">
              <w:rPr>
                <w:rFonts w:ascii="Tahoma" w:hAnsi="Tahoma" w:cs="Tahoma"/>
                <w:b/>
                <w:bCs/>
                <w:u w:val="single"/>
              </w:rPr>
              <w:t>NOT</w:t>
            </w:r>
            <w:r w:rsidRPr="003829DA">
              <w:rPr>
                <w:rFonts w:ascii="Tahoma" w:hAnsi="Tahoma" w:cs="Tahoma"/>
              </w:rPr>
              <w:t xml:space="preserve"> included within the word count. However, footnotes </w:t>
            </w:r>
            <w:r w:rsidRPr="003829DA">
              <w:rPr>
                <w:rFonts w:ascii="Tahoma" w:hAnsi="Tahoma" w:cs="Tahoma"/>
                <w:b/>
                <w:bCs/>
                <w:u w:val="single"/>
              </w:rPr>
              <w:t>ARE INCLUDED</w:t>
            </w:r>
            <w:r w:rsidRPr="003829DA">
              <w:rPr>
                <w:rFonts w:ascii="Tahoma" w:hAnsi="Tahoma" w:cs="Tahoma"/>
              </w:rPr>
              <w:t xml:space="preserve"> within the word count.  </w:t>
            </w:r>
          </w:p>
          <w:p w14:paraId="1A3E7E53" w14:textId="61F8C0B4" w:rsidR="003829DA" w:rsidRPr="003829DA" w:rsidRDefault="003829DA" w:rsidP="007A64D0">
            <w:pPr>
              <w:spacing w:before="120" w:after="360"/>
              <w:rPr>
                <w:rFonts w:ascii="Tahoma" w:hAnsi="Tahoma" w:cs="Tahoma"/>
              </w:rPr>
            </w:pPr>
            <w:r w:rsidRPr="003829DA">
              <w:rPr>
                <w:rFonts w:ascii="Tahoma" w:hAnsi="Tahoma" w:cs="Tahoma"/>
              </w:rPr>
              <w:t>In addition please also note that any false misrepresentation of the assessment word count within the required coversheet will amount to academic misconduct, and thus subject to the University academic misconduct procedure which can be found via the following link:</w:t>
            </w:r>
            <w:r>
              <w:rPr>
                <w:rFonts w:ascii="Tahoma" w:hAnsi="Tahoma" w:cs="Tahoma"/>
              </w:rPr>
              <w:t xml:space="preserve"> </w:t>
            </w:r>
            <w:hyperlink r:id="rId8" w:history="1">
              <w:r w:rsidRPr="005009C4">
                <w:rPr>
                  <w:rStyle w:val="Hyperlink"/>
                  <w:rFonts w:ascii="Tahoma" w:hAnsi="Tahoma" w:cs="Tahoma"/>
                </w:rPr>
                <w:t>http://www.salford.ac.uk/__data/assets/pdf_file/0005/653648/AcademicMisconductProcedure.pdf</w:t>
              </w:r>
            </w:hyperlink>
            <w:r>
              <w:rPr>
                <w:rFonts w:ascii="Tahoma" w:hAnsi="Tahoma" w:cs="Tahoma"/>
              </w:rPr>
              <w:t xml:space="preserve"> </w:t>
            </w:r>
          </w:p>
        </w:tc>
      </w:tr>
      <w:tr w:rsidR="003829DA" w14:paraId="5E5AB504" w14:textId="77777777" w:rsidTr="005E6CE4">
        <w:trPr>
          <w:trHeight w:val="348"/>
        </w:trPr>
        <w:tc>
          <w:tcPr>
            <w:tcW w:w="9020" w:type="dxa"/>
            <w:gridSpan w:val="2"/>
          </w:tcPr>
          <w:p w14:paraId="0E57952C" w14:textId="77777777" w:rsidR="003829DA" w:rsidRPr="007A64D0" w:rsidRDefault="003829DA" w:rsidP="007A64D0">
            <w:pPr>
              <w:spacing w:before="120" w:after="120"/>
              <w:rPr>
                <w:rFonts w:ascii="Tahoma" w:hAnsi="Tahoma" w:cs="Tahoma"/>
                <w:b/>
                <w:bCs/>
                <w:u w:val="single"/>
              </w:rPr>
            </w:pPr>
            <w:r w:rsidRPr="007A64D0">
              <w:rPr>
                <w:rFonts w:ascii="Tahoma" w:hAnsi="Tahoma" w:cs="Tahoma"/>
                <w:b/>
                <w:bCs/>
                <w:u w:val="single"/>
              </w:rPr>
              <w:lastRenderedPageBreak/>
              <w:t>Assessed intended learning outcomes</w:t>
            </w:r>
          </w:p>
          <w:p w14:paraId="5102838A" w14:textId="76A48F91" w:rsidR="003829DA" w:rsidRPr="003829DA" w:rsidRDefault="003829DA" w:rsidP="007A64D0">
            <w:pPr>
              <w:spacing w:after="240"/>
              <w:rPr>
                <w:rFonts w:ascii="Tahoma" w:hAnsi="Tahoma" w:cs="Tahoma"/>
              </w:rPr>
            </w:pPr>
            <w:r w:rsidRPr="003829DA">
              <w:rPr>
                <w:rFonts w:ascii="Tahoma" w:hAnsi="Tahoma" w:cs="Tahoma"/>
              </w:rPr>
              <w:t>On successful completion of this assessment, you will be able to:</w:t>
            </w:r>
          </w:p>
          <w:p w14:paraId="687D14B4" w14:textId="77777777" w:rsidR="003829DA" w:rsidRPr="007A64D0" w:rsidRDefault="003829DA" w:rsidP="004A4DCE">
            <w:pPr>
              <w:spacing w:after="120"/>
              <w:rPr>
                <w:rFonts w:ascii="Tahoma" w:hAnsi="Tahoma" w:cs="Tahoma"/>
                <w:b/>
                <w:bCs/>
              </w:rPr>
            </w:pPr>
            <w:r w:rsidRPr="007A64D0">
              <w:rPr>
                <w:rFonts w:ascii="Tahoma" w:hAnsi="Tahoma" w:cs="Tahoma"/>
                <w:b/>
                <w:bCs/>
              </w:rPr>
              <w:t>Knowledge and Understanding</w:t>
            </w:r>
          </w:p>
          <w:p w14:paraId="219039D9" w14:textId="7DFBE1CD" w:rsidR="003829DA" w:rsidRPr="003829DA" w:rsidRDefault="003829DA" w:rsidP="007A64D0">
            <w:pPr>
              <w:pStyle w:val="ListParagraph"/>
              <w:numPr>
                <w:ilvl w:val="0"/>
                <w:numId w:val="4"/>
              </w:numPr>
              <w:snapToGrid w:val="0"/>
              <w:spacing w:after="120"/>
              <w:contextualSpacing w:val="0"/>
              <w:rPr>
                <w:rFonts w:ascii="Tahoma" w:hAnsi="Tahoma" w:cs="Tahoma"/>
              </w:rPr>
            </w:pPr>
            <w:r w:rsidRPr="003829DA">
              <w:rPr>
                <w:rFonts w:ascii="Tahoma" w:hAnsi="Tahoma" w:cs="Tahoma"/>
              </w:rPr>
              <w:t>Identify and evaluate relevant law;</w:t>
            </w:r>
          </w:p>
          <w:p w14:paraId="3508085C" w14:textId="36063699" w:rsidR="003829DA" w:rsidRPr="003829DA" w:rsidRDefault="003829DA" w:rsidP="007A64D0">
            <w:pPr>
              <w:pStyle w:val="ListParagraph"/>
              <w:numPr>
                <w:ilvl w:val="0"/>
                <w:numId w:val="4"/>
              </w:numPr>
              <w:snapToGrid w:val="0"/>
              <w:spacing w:after="120"/>
              <w:contextualSpacing w:val="0"/>
              <w:rPr>
                <w:rFonts w:ascii="Tahoma" w:hAnsi="Tahoma" w:cs="Tahoma"/>
              </w:rPr>
            </w:pPr>
            <w:r w:rsidRPr="003829DA">
              <w:rPr>
                <w:rFonts w:ascii="Tahoma" w:hAnsi="Tahoma" w:cs="Tahoma"/>
              </w:rPr>
              <w:t>Effectively utilise legal principles in employment problems;</w:t>
            </w:r>
          </w:p>
          <w:p w14:paraId="103572B0" w14:textId="055D5856" w:rsidR="003829DA" w:rsidRPr="003829DA" w:rsidRDefault="003829DA" w:rsidP="007A64D0">
            <w:pPr>
              <w:pStyle w:val="ListParagraph"/>
              <w:numPr>
                <w:ilvl w:val="0"/>
                <w:numId w:val="4"/>
              </w:numPr>
              <w:snapToGrid w:val="0"/>
              <w:spacing w:after="120"/>
              <w:contextualSpacing w:val="0"/>
              <w:rPr>
                <w:rFonts w:ascii="Tahoma" w:hAnsi="Tahoma" w:cs="Tahoma"/>
              </w:rPr>
            </w:pPr>
            <w:r w:rsidRPr="003829DA">
              <w:rPr>
                <w:rFonts w:ascii="Tahoma" w:hAnsi="Tahoma" w:cs="Tahoma"/>
              </w:rPr>
              <w:t>Critically evaluate policy and law via critical analyse of practical implications of employment law.</w:t>
            </w:r>
          </w:p>
          <w:p w14:paraId="6D7D856E" w14:textId="3016891D" w:rsidR="003829DA" w:rsidRPr="003829DA" w:rsidRDefault="003829DA" w:rsidP="007A64D0">
            <w:pPr>
              <w:pStyle w:val="ListParagraph"/>
              <w:numPr>
                <w:ilvl w:val="0"/>
                <w:numId w:val="4"/>
              </w:numPr>
              <w:snapToGrid w:val="0"/>
              <w:spacing w:after="360"/>
              <w:ind w:left="1077"/>
              <w:contextualSpacing w:val="0"/>
              <w:rPr>
                <w:rFonts w:ascii="Tahoma" w:hAnsi="Tahoma" w:cs="Tahoma"/>
              </w:rPr>
            </w:pPr>
            <w:r w:rsidRPr="003829DA">
              <w:rPr>
                <w:rFonts w:ascii="Tahoma" w:hAnsi="Tahoma" w:cs="Tahoma"/>
              </w:rPr>
              <w:lastRenderedPageBreak/>
              <w:t>Demonstrate an in-depth theoretical and practical understanding of the role of employment law within the legal system and society generally</w:t>
            </w:r>
          </w:p>
          <w:p w14:paraId="0374AF59" w14:textId="77777777" w:rsidR="003829DA" w:rsidRPr="007A64D0" w:rsidRDefault="003829DA" w:rsidP="004A4DCE">
            <w:pPr>
              <w:spacing w:after="120"/>
              <w:rPr>
                <w:rFonts w:ascii="Tahoma" w:hAnsi="Tahoma" w:cs="Tahoma"/>
                <w:b/>
                <w:bCs/>
              </w:rPr>
            </w:pPr>
            <w:r w:rsidRPr="007A64D0">
              <w:rPr>
                <w:rFonts w:ascii="Tahoma" w:hAnsi="Tahoma" w:cs="Tahoma"/>
                <w:b/>
                <w:bCs/>
              </w:rPr>
              <w:t>Practical, Professional or Subject Specific Skills</w:t>
            </w:r>
          </w:p>
          <w:p w14:paraId="2E77897A" w14:textId="2D8E1C91" w:rsidR="003829DA" w:rsidRPr="003829DA" w:rsidRDefault="003829DA" w:rsidP="007A64D0">
            <w:pPr>
              <w:pStyle w:val="ListParagraph"/>
              <w:numPr>
                <w:ilvl w:val="0"/>
                <w:numId w:val="4"/>
              </w:numPr>
              <w:snapToGrid w:val="0"/>
              <w:spacing w:after="120"/>
              <w:contextualSpacing w:val="0"/>
              <w:rPr>
                <w:rFonts w:ascii="Tahoma" w:hAnsi="Tahoma" w:cs="Tahoma"/>
              </w:rPr>
            </w:pPr>
            <w:r w:rsidRPr="003829DA">
              <w:rPr>
                <w:rFonts w:ascii="Tahoma" w:hAnsi="Tahoma" w:cs="Tahoma"/>
              </w:rPr>
              <w:t>Conduct independent research using a range of resources to support arguments and draw relevant conclusions in the field of media law.</w:t>
            </w:r>
          </w:p>
          <w:p w14:paraId="3AE1E43D" w14:textId="155BC00E" w:rsidR="003829DA" w:rsidRPr="003829DA" w:rsidRDefault="003829DA" w:rsidP="007A64D0">
            <w:pPr>
              <w:pStyle w:val="ListParagraph"/>
              <w:numPr>
                <w:ilvl w:val="0"/>
                <w:numId w:val="4"/>
              </w:numPr>
              <w:snapToGrid w:val="0"/>
              <w:spacing w:after="120"/>
              <w:contextualSpacing w:val="0"/>
              <w:rPr>
                <w:rFonts w:ascii="Tahoma" w:hAnsi="Tahoma" w:cs="Tahoma"/>
              </w:rPr>
            </w:pPr>
            <w:r w:rsidRPr="003829DA">
              <w:rPr>
                <w:rFonts w:ascii="Tahoma" w:hAnsi="Tahoma" w:cs="Tahoma"/>
              </w:rPr>
              <w:t>Recognise, analyse, and prioritise relevant legal issues and arguments.</w:t>
            </w:r>
          </w:p>
          <w:p w14:paraId="06FDC69D" w14:textId="3BA66E6C" w:rsidR="003829DA" w:rsidRPr="003829DA" w:rsidRDefault="003829DA" w:rsidP="007A64D0">
            <w:pPr>
              <w:pStyle w:val="ListParagraph"/>
              <w:numPr>
                <w:ilvl w:val="0"/>
                <w:numId w:val="4"/>
              </w:numPr>
              <w:snapToGrid w:val="0"/>
              <w:spacing w:after="120"/>
              <w:contextualSpacing w:val="0"/>
              <w:rPr>
                <w:rFonts w:ascii="Tahoma" w:hAnsi="Tahoma" w:cs="Tahoma"/>
              </w:rPr>
            </w:pPr>
            <w:r w:rsidRPr="003829DA">
              <w:rPr>
                <w:rFonts w:ascii="Tahoma" w:hAnsi="Tahoma" w:cs="Tahoma"/>
              </w:rPr>
              <w:t>Identify and distinguish between primary and secondary sources and between fact, law and opinion.</w:t>
            </w:r>
          </w:p>
          <w:p w14:paraId="50B92F54" w14:textId="232B2A50" w:rsidR="003829DA" w:rsidRPr="003829DA" w:rsidRDefault="003829DA" w:rsidP="007A64D0">
            <w:pPr>
              <w:pStyle w:val="ListParagraph"/>
              <w:numPr>
                <w:ilvl w:val="0"/>
                <w:numId w:val="4"/>
              </w:numPr>
              <w:snapToGrid w:val="0"/>
              <w:spacing w:after="120"/>
              <w:contextualSpacing w:val="0"/>
              <w:rPr>
                <w:rFonts w:ascii="Tahoma" w:hAnsi="Tahoma" w:cs="Tahoma"/>
              </w:rPr>
            </w:pPr>
            <w:r w:rsidRPr="003829DA">
              <w:rPr>
                <w:rFonts w:ascii="Tahoma" w:hAnsi="Tahoma" w:cs="Tahoma"/>
              </w:rPr>
              <w:t>Critically apply problem solving skills.</w:t>
            </w:r>
          </w:p>
          <w:p w14:paraId="6B598F7E" w14:textId="563DEF0A" w:rsidR="003829DA" w:rsidRPr="003829DA" w:rsidRDefault="003829DA" w:rsidP="007A64D0">
            <w:pPr>
              <w:pStyle w:val="ListParagraph"/>
              <w:numPr>
                <w:ilvl w:val="0"/>
                <w:numId w:val="4"/>
              </w:numPr>
              <w:snapToGrid w:val="0"/>
              <w:spacing w:after="360"/>
              <w:ind w:left="1077"/>
              <w:contextualSpacing w:val="0"/>
              <w:rPr>
                <w:rFonts w:ascii="Tahoma" w:hAnsi="Tahoma" w:cs="Tahoma"/>
              </w:rPr>
            </w:pPr>
            <w:r w:rsidRPr="003829DA">
              <w:rPr>
                <w:rFonts w:ascii="Tahoma" w:hAnsi="Tahoma" w:cs="Tahoma"/>
              </w:rPr>
              <w:t>Present arguments in a clear, logical and legally accurate form using appropriate language</w:t>
            </w:r>
          </w:p>
          <w:p w14:paraId="65E2B6C7" w14:textId="77777777" w:rsidR="003829DA" w:rsidRPr="007A64D0" w:rsidRDefault="003829DA" w:rsidP="004A4DCE">
            <w:pPr>
              <w:spacing w:after="120"/>
              <w:rPr>
                <w:rFonts w:ascii="Tahoma" w:hAnsi="Tahoma" w:cs="Tahoma"/>
                <w:b/>
                <w:bCs/>
              </w:rPr>
            </w:pPr>
            <w:r w:rsidRPr="007A64D0">
              <w:rPr>
                <w:rFonts w:ascii="Tahoma" w:hAnsi="Tahoma" w:cs="Tahoma"/>
                <w:b/>
                <w:bCs/>
              </w:rPr>
              <w:t xml:space="preserve">Transferable Skills and other Attributes </w:t>
            </w:r>
          </w:p>
          <w:p w14:paraId="458AE09C" w14:textId="6B59C4AF" w:rsidR="003829DA" w:rsidRPr="003829DA" w:rsidRDefault="003829DA" w:rsidP="007A64D0">
            <w:pPr>
              <w:pStyle w:val="ListParagraph"/>
              <w:numPr>
                <w:ilvl w:val="0"/>
                <w:numId w:val="4"/>
              </w:numPr>
              <w:snapToGrid w:val="0"/>
              <w:spacing w:after="120"/>
              <w:ind w:left="1077"/>
              <w:contextualSpacing w:val="0"/>
              <w:rPr>
                <w:rFonts w:ascii="Tahoma" w:hAnsi="Tahoma" w:cs="Tahoma"/>
              </w:rPr>
            </w:pPr>
            <w:r w:rsidRPr="003829DA">
              <w:rPr>
                <w:rFonts w:ascii="Tahoma" w:hAnsi="Tahoma" w:cs="Tahoma"/>
              </w:rPr>
              <w:t>Develop competence in the use of a range of legal (and sometimes non-legal) research sources, in both paper and electronic format;</w:t>
            </w:r>
          </w:p>
          <w:p w14:paraId="7BD7A539" w14:textId="16DFD130" w:rsidR="003829DA" w:rsidRPr="003829DA" w:rsidRDefault="003829DA" w:rsidP="007A64D0">
            <w:pPr>
              <w:pStyle w:val="ListParagraph"/>
              <w:numPr>
                <w:ilvl w:val="0"/>
                <w:numId w:val="4"/>
              </w:numPr>
              <w:snapToGrid w:val="0"/>
              <w:spacing w:after="120"/>
              <w:ind w:left="1077"/>
              <w:contextualSpacing w:val="0"/>
              <w:rPr>
                <w:rFonts w:ascii="Tahoma" w:hAnsi="Tahoma" w:cs="Tahoma"/>
              </w:rPr>
            </w:pPr>
            <w:r w:rsidRPr="003829DA">
              <w:rPr>
                <w:rFonts w:ascii="Tahoma" w:hAnsi="Tahoma" w:cs="Tahoma"/>
              </w:rPr>
              <w:t>Demonstrate the ability to communicate, both in writing and orally, in a professional, ethical and unambiguous fashion;</w:t>
            </w:r>
          </w:p>
          <w:p w14:paraId="1AEA72C5" w14:textId="46A3497D" w:rsidR="003829DA" w:rsidRPr="004A4DCE" w:rsidRDefault="003829DA" w:rsidP="007A64D0">
            <w:pPr>
              <w:pStyle w:val="ListParagraph"/>
              <w:numPr>
                <w:ilvl w:val="0"/>
                <w:numId w:val="4"/>
              </w:numPr>
              <w:snapToGrid w:val="0"/>
              <w:spacing w:after="120"/>
              <w:ind w:left="1077"/>
              <w:contextualSpacing w:val="0"/>
              <w:rPr>
                <w:rFonts w:ascii="Tahoma" w:hAnsi="Tahoma" w:cs="Tahoma"/>
              </w:rPr>
            </w:pPr>
            <w:r w:rsidRPr="004A4DCE">
              <w:rPr>
                <w:rFonts w:ascii="Tahoma" w:hAnsi="Tahoma" w:cs="Tahoma"/>
              </w:rPr>
              <w:t>Solve both theoretical and practical problems through the application of authoritative rules of law, both substantive and procedural;</w:t>
            </w:r>
          </w:p>
          <w:p w14:paraId="427D5CB7" w14:textId="2F41BB2C" w:rsidR="003829DA" w:rsidRPr="004A4DCE" w:rsidRDefault="003829DA" w:rsidP="007A64D0">
            <w:pPr>
              <w:pStyle w:val="ListParagraph"/>
              <w:numPr>
                <w:ilvl w:val="0"/>
                <w:numId w:val="4"/>
              </w:numPr>
              <w:snapToGrid w:val="0"/>
              <w:spacing w:after="360"/>
              <w:ind w:left="1077"/>
              <w:contextualSpacing w:val="0"/>
              <w:rPr>
                <w:rFonts w:ascii="Tahoma" w:hAnsi="Tahoma" w:cs="Tahoma"/>
              </w:rPr>
            </w:pPr>
            <w:r w:rsidRPr="004A4DCE">
              <w:rPr>
                <w:rFonts w:ascii="Tahoma" w:hAnsi="Tahoma" w:cs="Tahoma"/>
              </w:rPr>
              <w:t>13.</w:t>
            </w:r>
            <w:r w:rsidRPr="004A4DCE">
              <w:rPr>
                <w:rFonts w:ascii="Tahoma" w:hAnsi="Tahoma" w:cs="Tahoma"/>
              </w:rPr>
              <w:tab/>
              <w:t>Analyse the law objectively and provide relevant, effective justifications for answers rather than relying on purely personal opinions.</w:t>
            </w:r>
          </w:p>
        </w:tc>
      </w:tr>
      <w:tr w:rsidR="003829DA" w14:paraId="51940E80" w14:textId="77777777" w:rsidTr="005E6CE4">
        <w:trPr>
          <w:trHeight w:val="348"/>
        </w:trPr>
        <w:tc>
          <w:tcPr>
            <w:tcW w:w="9020" w:type="dxa"/>
            <w:gridSpan w:val="2"/>
          </w:tcPr>
          <w:p w14:paraId="766AFB7C" w14:textId="65275347" w:rsidR="004A4DCE" w:rsidRPr="004A4DCE" w:rsidRDefault="004A4DCE" w:rsidP="007A64D0">
            <w:pPr>
              <w:snapToGrid w:val="0"/>
              <w:spacing w:before="120" w:after="120"/>
              <w:rPr>
                <w:rFonts w:ascii="Tahoma" w:hAnsi="Tahoma" w:cs="Tahoma"/>
                <w:b/>
                <w:bCs/>
              </w:rPr>
            </w:pPr>
            <w:r w:rsidRPr="004A4DCE">
              <w:rPr>
                <w:rFonts w:ascii="Tahoma" w:hAnsi="Tahoma" w:cs="Tahoma"/>
                <w:b/>
                <w:bCs/>
              </w:rPr>
              <w:lastRenderedPageBreak/>
              <w:t>Module Aims</w:t>
            </w:r>
          </w:p>
          <w:p w14:paraId="013EBDBC" w14:textId="23E614F3" w:rsidR="004A4DCE" w:rsidRPr="004A4DCE" w:rsidRDefault="004A4DCE" w:rsidP="007A64D0">
            <w:pPr>
              <w:pStyle w:val="ListParagraph"/>
              <w:numPr>
                <w:ilvl w:val="0"/>
                <w:numId w:val="9"/>
              </w:numPr>
              <w:snapToGrid w:val="0"/>
              <w:spacing w:before="120" w:after="120"/>
              <w:contextualSpacing w:val="0"/>
              <w:rPr>
                <w:rFonts w:ascii="Tahoma" w:hAnsi="Tahoma" w:cs="Tahoma"/>
              </w:rPr>
            </w:pPr>
            <w:r w:rsidRPr="004A4DCE">
              <w:rPr>
                <w:rFonts w:ascii="Tahoma" w:hAnsi="Tahoma" w:cs="Tahoma"/>
              </w:rPr>
              <w:t>To develop a critical understanding of those aspects of employment law which provide the legal framework for employment relationships and regulate the working environment;</w:t>
            </w:r>
          </w:p>
          <w:p w14:paraId="5F01882C" w14:textId="4319019F" w:rsidR="004A4DCE" w:rsidRPr="004A4DCE" w:rsidRDefault="004A4DCE" w:rsidP="007A64D0">
            <w:pPr>
              <w:pStyle w:val="ListParagraph"/>
              <w:numPr>
                <w:ilvl w:val="0"/>
                <w:numId w:val="9"/>
              </w:numPr>
              <w:snapToGrid w:val="0"/>
              <w:spacing w:before="120" w:after="120"/>
              <w:contextualSpacing w:val="0"/>
              <w:rPr>
                <w:rFonts w:ascii="Tahoma" w:hAnsi="Tahoma" w:cs="Tahoma"/>
              </w:rPr>
            </w:pPr>
            <w:r w:rsidRPr="004A4DCE">
              <w:rPr>
                <w:rFonts w:ascii="Tahoma" w:hAnsi="Tahoma" w:cs="Tahoma"/>
              </w:rPr>
              <w:t>To extend the students’ understanding of legal methodology and their abilities in legal reasoning.</w:t>
            </w:r>
          </w:p>
          <w:p w14:paraId="58D1E6A3" w14:textId="56D8F442" w:rsidR="004A4DCE" w:rsidRPr="004A4DCE" w:rsidRDefault="004A4DCE" w:rsidP="007A64D0">
            <w:pPr>
              <w:pStyle w:val="ListParagraph"/>
              <w:numPr>
                <w:ilvl w:val="0"/>
                <w:numId w:val="9"/>
              </w:numPr>
              <w:snapToGrid w:val="0"/>
              <w:spacing w:before="120" w:after="120"/>
              <w:contextualSpacing w:val="0"/>
              <w:rPr>
                <w:rFonts w:ascii="Tahoma" w:hAnsi="Tahoma" w:cs="Tahoma"/>
              </w:rPr>
            </w:pPr>
            <w:r w:rsidRPr="004A4DCE">
              <w:rPr>
                <w:rFonts w:ascii="Tahoma" w:hAnsi="Tahoma" w:cs="Tahoma"/>
              </w:rPr>
              <w:t>To critically review the capacity of UK employment law to match the changing needs and expectations of society and the role that law plays in policy development in the face of modern workplace challenges</w:t>
            </w:r>
          </w:p>
          <w:p w14:paraId="07C5FD53" w14:textId="0789DAAD" w:rsidR="003829DA" w:rsidRPr="004A4DCE" w:rsidRDefault="004A4DCE" w:rsidP="007A64D0">
            <w:pPr>
              <w:pStyle w:val="ListParagraph"/>
              <w:numPr>
                <w:ilvl w:val="0"/>
                <w:numId w:val="9"/>
              </w:numPr>
              <w:snapToGrid w:val="0"/>
              <w:spacing w:before="120" w:after="360"/>
              <w:ind w:left="1077"/>
              <w:contextualSpacing w:val="0"/>
              <w:rPr>
                <w:rFonts w:ascii="Tahoma" w:hAnsi="Tahoma" w:cs="Tahoma"/>
              </w:rPr>
            </w:pPr>
            <w:r w:rsidRPr="004A4DCE">
              <w:rPr>
                <w:rFonts w:ascii="Tahoma" w:hAnsi="Tahoma" w:cs="Tahoma"/>
              </w:rPr>
              <w:t>4.</w:t>
            </w:r>
            <w:r w:rsidRPr="004A4DCE">
              <w:rPr>
                <w:rFonts w:ascii="Tahoma" w:hAnsi="Tahoma" w:cs="Tahoma"/>
              </w:rPr>
              <w:tab/>
              <w:t>To review the law’s strengths and weaknesses in the light of recent, current and proposed reforms</w:t>
            </w:r>
          </w:p>
        </w:tc>
      </w:tr>
      <w:tr w:rsidR="003829DA" w14:paraId="5F1617D0" w14:textId="77777777" w:rsidTr="005E6CE4">
        <w:trPr>
          <w:trHeight w:val="932"/>
        </w:trPr>
        <w:tc>
          <w:tcPr>
            <w:tcW w:w="9020" w:type="dxa"/>
            <w:gridSpan w:val="2"/>
          </w:tcPr>
          <w:p w14:paraId="04253AFB" w14:textId="77777777" w:rsidR="004A4DCE" w:rsidRPr="004A4DCE" w:rsidRDefault="004A4DCE" w:rsidP="007A64D0">
            <w:pPr>
              <w:spacing w:before="120" w:after="120"/>
              <w:rPr>
                <w:rFonts w:ascii="Tahoma" w:hAnsi="Tahoma" w:cs="Tahoma"/>
                <w:b/>
                <w:bCs/>
              </w:rPr>
            </w:pPr>
            <w:r w:rsidRPr="004A4DCE">
              <w:rPr>
                <w:rFonts w:ascii="Tahoma" w:hAnsi="Tahoma" w:cs="Tahoma"/>
                <w:b/>
                <w:bCs/>
              </w:rPr>
              <w:t>Feedback arrangements</w:t>
            </w:r>
          </w:p>
          <w:p w14:paraId="0664AB8E" w14:textId="235471CC" w:rsidR="003829DA" w:rsidRPr="003829DA" w:rsidRDefault="004A4DCE" w:rsidP="007A64D0">
            <w:pPr>
              <w:spacing w:before="120" w:after="360"/>
              <w:rPr>
                <w:rFonts w:ascii="Tahoma" w:hAnsi="Tahoma" w:cs="Tahoma"/>
              </w:rPr>
            </w:pPr>
            <w:r w:rsidRPr="004A4DCE">
              <w:rPr>
                <w:rFonts w:ascii="Tahoma" w:hAnsi="Tahoma" w:cs="Tahoma"/>
              </w:rPr>
              <w:t>You can expect to receive feedback within 3 weeks of the submission date via a summative comment on the Turnitin site.</w:t>
            </w:r>
          </w:p>
        </w:tc>
      </w:tr>
      <w:tr w:rsidR="003829DA" w14:paraId="2AF49238" w14:textId="77777777" w:rsidTr="005E6CE4">
        <w:trPr>
          <w:trHeight w:val="348"/>
        </w:trPr>
        <w:tc>
          <w:tcPr>
            <w:tcW w:w="9020" w:type="dxa"/>
            <w:gridSpan w:val="2"/>
          </w:tcPr>
          <w:p w14:paraId="2B68C51F" w14:textId="77777777" w:rsidR="004A4DCE" w:rsidRPr="004A4DCE" w:rsidRDefault="004A4DCE" w:rsidP="007A64D0">
            <w:pPr>
              <w:pStyle w:val="body0"/>
              <w:snapToGrid w:val="0"/>
              <w:spacing w:before="120" w:after="120"/>
              <w:rPr>
                <w:rFonts w:ascii="Tahoma" w:hAnsi="Tahoma" w:cs="Tahoma"/>
                <w:b/>
                <w:bCs/>
              </w:rPr>
            </w:pPr>
            <w:r w:rsidRPr="004A4DCE">
              <w:rPr>
                <w:rFonts w:ascii="Tahoma" w:hAnsi="Tahoma" w:cs="Tahoma"/>
                <w:b/>
                <w:bCs/>
              </w:rPr>
              <w:lastRenderedPageBreak/>
              <w:t>Support arrangements</w:t>
            </w:r>
          </w:p>
          <w:p w14:paraId="720AF1D9" w14:textId="3587344C" w:rsidR="004A4DCE" w:rsidRPr="004A4DCE" w:rsidRDefault="004A4DCE" w:rsidP="007A64D0">
            <w:pPr>
              <w:pStyle w:val="body0"/>
              <w:snapToGrid w:val="0"/>
              <w:spacing w:before="120" w:after="360"/>
              <w:rPr>
                <w:rFonts w:ascii="Tahoma" w:hAnsi="Tahoma" w:cs="Tahoma"/>
              </w:rPr>
            </w:pPr>
            <w:r w:rsidRPr="004A4DCE">
              <w:rPr>
                <w:rFonts w:ascii="Tahoma" w:hAnsi="Tahoma" w:cs="Tahoma"/>
              </w:rPr>
              <w:t xml:space="preserve">You can obtain support for this assessment by contacting the module leader. </w:t>
            </w:r>
          </w:p>
          <w:p w14:paraId="584F60B5" w14:textId="77777777" w:rsidR="004A4DCE" w:rsidRPr="004A4DCE" w:rsidRDefault="004A4DCE" w:rsidP="007A64D0">
            <w:pPr>
              <w:pStyle w:val="body0"/>
              <w:snapToGrid w:val="0"/>
              <w:spacing w:before="120" w:after="120"/>
              <w:rPr>
                <w:rFonts w:ascii="Tahoma" w:hAnsi="Tahoma" w:cs="Tahoma"/>
                <w:b/>
                <w:bCs/>
              </w:rPr>
            </w:pPr>
            <w:r w:rsidRPr="004A4DCE">
              <w:rPr>
                <w:rFonts w:ascii="Tahoma" w:hAnsi="Tahoma" w:cs="Tahoma"/>
                <w:b/>
                <w:bCs/>
              </w:rPr>
              <w:t>Personal Tutor/Student Progression Administrator</w:t>
            </w:r>
          </w:p>
          <w:p w14:paraId="2034F701" w14:textId="783DED5F" w:rsidR="003829DA" w:rsidRPr="003829DA" w:rsidRDefault="004A4DCE" w:rsidP="007A64D0">
            <w:pPr>
              <w:pStyle w:val="body0"/>
              <w:snapToGrid w:val="0"/>
              <w:spacing w:before="120" w:after="360"/>
              <w:rPr>
                <w:rFonts w:ascii="Tahoma" w:hAnsi="Tahoma" w:cs="Tahoma"/>
              </w:rPr>
            </w:pPr>
            <w:r w:rsidRPr="004A4DCE">
              <w:rPr>
                <w:rFonts w:ascii="Tahoma" w:hAnsi="Tahoma" w:cs="Tahoma"/>
              </w:rPr>
              <w:t>If you have any concerns about your studies, contact your Personal Tutor or your Student Progression Administrator.</w:t>
            </w:r>
          </w:p>
        </w:tc>
      </w:tr>
      <w:tr w:rsidR="004A4DCE" w14:paraId="492A2440" w14:textId="77777777" w:rsidTr="005E6CE4">
        <w:trPr>
          <w:trHeight w:val="348"/>
        </w:trPr>
        <w:tc>
          <w:tcPr>
            <w:tcW w:w="9020" w:type="dxa"/>
            <w:gridSpan w:val="2"/>
          </w:tcPr>
          <w:p w14:paraId="046EE678" w14:textId="77777777" w:rsidR="004A4DCE" w:rsidRPr="004A4DCE" w:rsidRDefault="004A4DCE" w:rsidP="004A4DCE">
            <w:pPr>
              <w:pStyle w:val="body0"/>
              <w:spacing w:after="120"/>
              <w:rPr>
                <w:rFonts w:ascii="Tahoma" w:hAnsi="Tahoma" w:cs="Tahoma"/>
                <w:b/>
                <w:bCs/>
              </w:rPr>
            </w:pPr>
            <w:r w:rsidRPr="004A4DCE">
              <w:rPr>
                <w:rFonts w:ascii="Tahoma" w:hAnsi="Tahoma" w:cs="Tahoma"/>
                <w:b/>
                <w:bCs/>
              </w:rPr>
              <w:t>Reassessment</w:t>
            </w:r>
          </w:p>
          <w:p w14:paraId="77D34FEC" w14:textId="481D01DE" w:rsidR="004A4DCE" w:rsidRPr="007A64D0" w:rsidRDefault="004A4DCE" w:rsidP="007A64D0">
            <w:pPr>
              <w:pStyle w:val="body0"/>
              <w:spacing w:after="240"/>
              <w:rPr>
                <w:rFonts w:ascii="Tahoma" w:hAnsi="Tahoma" w:cs="Tahoma"/>
              </w:rPr>
            </w:pPr>
            <w:r w:rsidRPr="004A4DCE">
              <w:rPr>
                <w:rFonts w:ascii="Tahoma" w:hAnsi="Tahoma" w:cs="Tahoma"/>
              </w:rPr>
              <w:t xml:space="preserve">If you fail your assessment, and are eligible for reassessment, you will need to resubmit during the re-submission period at the end of the academic year. You will receive information from the unit administration officer. Please contact the module leader for any support and guidance needed. For students with accepted personal mitigating circumstances, this will be your replacement assessment attempt.  </w:t>
            </w:r>
          </w:p>
          <w:p w14:paraId="1CE99C9E" w14:textId="63DEB35C" w:rsidR="004A4DCE" w:rsidRPr="004A4DCE" w:rsidRDefault="004A4DCE" w:rsidP="007A64D0">
            <w:pPr>
              <w:pStyle w:val="body0"/>
              <w:spacing w:after="240"/>
              <w:rPr>
                <w:rFonts w:ascii="Tahoma" w:hAnsi="Tahoma" w:cs="Tahoma"/>
              </w:rPr>
            </w:pPr>
            <w:r w:rsidRPr="004A4DCE">
              <w:rPr>
                <w:rFonts w:ascii="Tahoma" w:hAnsi="Tahoma" w:cs="Tahoma"/>
              </w:rPr>
              <w:t xml:space="preserve">Reassessment will be way of the same assignment </w:t>
            </w:r>
            <w:r w:rsidR="007A64D0" w:rsidRPr="004A4DCE">
              <w:rPr>
                <w:rFonts w:ascii="Tahoma" w:hAnsi="Tahoma" w:cs="Tahoma"/>
              </w:rPr>
              <w:t>i.e.,</w:t>
            </w:r>
            <w:r w:rsidRPr="004A4DCE">
              <w:rPr>
                <w:rFonts w:ascii="Tahoma" w:hAnsi="Tahoma" w:cs="Tahoma"/>
              </w:rPr>
              <w:t xml:space="preserve"> the question contained in this document.</w:t>
            </w:r>
          </w:p>
        </w:tc>
      </w:tr>
    </w:tbl>
    <w:p w14:paraId="57673C45" w14:textId="77777777" w:rsidR="006338C3" w:rsidRDefault="006338C3"/>
    <w:sectPr w:rsidR="006338C3" w:rsidSect="00960F7C">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F08E9" w14:textId="77777777" w:rsidR="000F7DF3" w:rsidRDefault="000F7DF3" w:rsidP="004A4DCE">
      <w:r>
        <w:separator/>
      </w:r>
    </w:p>
  </w:endnote>
  <w:endnote w:type="continuationSeparator" w:id="0">
    <w:p w14:paraId="47CA495F" w14:textId="77777777" w:rsidR="000F7DF3" w:rsidRDefault="000F7DF3" w:rsidP="004A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E0AD" w14:textId="77777777" w:rsidR="004A4DCE" w:rsidRPr="004A4DCE" w:rsidRDefault="004A4DCE" w:rsidP="004A4DCE">
    <w:pPr>
      <w:pStyle w:val="PageNumbers"/>
      <w:rPr>
        <w:rFonts w:ascii="Tahoma" w:hAnsi="Tahoma" w:cs="Tahoma"/>
        <w:bCs/>
        <w:sz w:val="24"/>
        <w:szCs w:val="24"/>
      </w:rPr>
    </w:pPr>
    <w:r w:rsidRPr="004A4DCE">
      <w:rPr>
        <w:rFonts w:ascii="Tahoma" w:hAnsi="Tahoma" w:cs="Tahoma"/>
        <w:bCs/>
        <w:sz w:val="24"/>
        <w:szCs w:val="24"/>
      </w:rPr>
      <w:fldChar w:fldCharType="begin"/>
    </w:r>
    <w:r w:rsidRPr="004A4DCE">
      <w:rPr>
        <w:rFonts w:ascii="Tahoma" w:hAnsi="Tahoma" w:cs="Tahoma"/>
        <w:bCs/>
        <w:sz w:val="24"/>
        <w:szCs w:val="24"/>
      </w:rPr>
      <w:instrText xml:space="preserve"> PAGE   \* MERGEFORMAT </w:instrText>
    </w:r>
    <w:r w:rsidRPr="004A4DCE">
      <w:rPr>
        <w:rFonts w:ascii="Tahoma" w:hAnsi="Tahoma" w:cs="Tahoma"/>
        <w:bCs/>
        <w:sz w:val="24"/>
        <w:szCs w:val="24"/>
      </w:rPr>
      <w:fldChar w:fldCharType="separate"/>
    </w:r>
    <w:r w:rsidR="004E6DF1">
      <w:rPr>
        <w:rFonts w:ascii="Tahoma" w:hAnsi="Tahoma" w:cs="Tahoma"/>
        <w:bCs/>
        <w:noProof/>
        <w:sz w:val="24"/>
        <w:szCs w:val="24"/>
      </w:rPr>
      <w:t>2</w:t>
    </w:r>
    <w:r w:rsidRPr="004A4DCE">
      <w:rPr>
        <w:rFonts w:ascii="Tahoma" w:hAnsi="Tahoma" w:cs="Tahoma"/>
        <w:bCs/>
        <w:noProof/>
        <w:sz w:val="24"/>
        <w:szCs w:val="24"/>
      </w:rPr>
      <w:fldChar w:fldCharType="end"/>
    </w:r>
  </w:p>
  <w:p w14:paraId="1B439B32" w14:textId="77777777" w:rsidR="004A4DCE" w:rsidRPr="004A4DCE" w:rsidRDefault="004A4DCE">
    <w:pPr>
      <w:pStyle w:val="Footer"/>
      <w:rPr>
        <w:rFonts w:ascii="Tahoma" w:hAnsi="Tahoma" w:cs="Tahoma"/>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0874" w14:textId="77777777" w:rsidR="000F7DF3" w:rsidRDefault="000F7DF3" w:rsidP="004A4DCE">
      <w:r>
        <w:separator/>
      </w:r>
    </w:p>
  </w:footnote>
  <w:footnote w:type="continuationSeparator" w:id="0">
    <w:p w14:paraId="1E412E22" w14:textId="77777777" w:rsidR="000F7DF3" w:rsidRDefault="000F7DF3" w:rsidP="004A4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3CB"/>
    <w:multiLevelType w:val="hybridMultilevel"/>
    <w:tmpl w:val="4EC0750C"/>
    <w:lvl w:ilvl="0" w:tplc="FFCA8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67681"/>
    <w:multiLevelType w:val="hybridMultilevel"/>
    <w:tmpl w:val="2BC6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0048FF"/>
    <w:multiLevelType w:val="hybridMultilevel"/>
    <w:tmpl w:val="616AB6F8"/>
    <w:lvl w:ilvl="0" w:tplc="FFCA8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707050"/>
    <w:multiLevelType w:val="hybridMultilevel"/>
    <w:tmpl w:val="0B02AC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FF2714A"/>
    <w:multiLevelType w:val="hybridMultilevel"/>
    <w:tmpl w:val="DDA6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13472"/>
    <w:multiLevelType w:val="hybridMultilevel"/>
    <w:tmpl w:val="53488602"/>
    <w:lvl w:ilvl="0" w:tplc="FFCA8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BD4395"/>
    <w:multiLevelType w:val="hybridMultilevel"/>
    <w:tmpl w:val="8F844116"/>
    <w:lvl w:ilvl="0" w:tplc="FFCA8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916AD"/>
    <w:multiLevelType w:val="hybridMultilevel"/>
    <w:tmpl w:val="2CBECEC0"/>
    <w:lvl w:ilvl="0" w:tplc="FFCA8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960D6B"/>
    <w:multiLevelType w:val="hybridMultilevel"/>
    <w:tmpl w:val="C86C4CE4"/>
    <w:lvl w:ilvl="0" w:tplc="FFCA8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DA"/>
    <w:rsid w:val="00013AB5"/>
    <w:rsid w:val="00030ECB"/>
    <w:rsid w:val="00092051"/>
    <w:rsid w:val="000E3BF0"/>
    <w:rsid w:val="000F7DF3"/>
    <w:rsid w:val="001A7FEF"/>
    <w:rsid w:val="001F5DEB"/>
    <w:rsid w:val="00207702"/>
    <w:rsid w:val="00257AB2"/>
    <w:rsid w:val="003479B9"/>
    <w:rsid w:val="003829DA"/>
    <w:rsid w:val="003F76C4"/>
    <w:rsid w:val="0045737A"/>
    <w:rsid w:val="004A35FD"/>
    <w:rsid w:val="004A4DCE"/>
    <w:rsid w:val="004E6DF1"/>
    <w:rsid w:val="005154D8"/>
    <w:rsid w:val="005E6CE4"/>
    <w:rsid w:val="005F5D2D"/>
    <w:rsid w:val="006338C3"/>
    <w:rsid w:val="00635C38"/>
    <w:rsid w:val="00722BDC"/>
    <w:rsid w:val="00724160"/>
    <w:rsid w:val="007A64D0"/>
    <w:rsid w:val="0082175C"/>
    <w:rsid w:val="0085094C"/>
    <w:rsid w:val="00960F7C"/>
    <w:rsid w:val="0097184D"/>
    <w:rsid w:val="00A73A62"/>
    <w:rsid w:val="00AA144A"/>
    <w:rsid w:val="00AE5E67"/>
    <w:rsid w:val="00B52854"/>
    <w:rsid w:val="00B66859"/>
    <w:rsid w:val="00B8285B"/>
    <w:rsid w:val="00B83CA7"/>
    <w:rsid w:val="00B9683E"/>
    <w:rsid w:val="00BD61DE"/>
    <w:rsid w:val="00BE362C"/>
    <w:rsid w:val="00C76F1A"/>
    <w:rsid w:val="00C82923"/>
    <w:rsid w:val="00CA4001"/>
    <w:rsid w:val="00CA6E9D"/>
    <w:rsid w:val="00CF5458"/>
    <w:rsid w:val="00D23859"/>
    <w:rsid w:val="00DA2668"/>
    <w:rsid w:val="00DD5290"/>
    <w:rsid w:val="00E12834"/>
    <w:rsid w:val="00E43DC5"/>
    <w:rsid w:val="00E65051"/>
    <w:rsid w:val="00E807B8"/>
    <w:rsid w:val="00EB45A2"/>
    <w:rsid w:val="00F03DD8"/>
    <w:rsid w:val="00FC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2415"/>
  <w15:chartTrackingRefBased/>
  <w15:docId w15:val="{2D458253-69A6-0E46-AC33-F80C590C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29DA"/>
    <w:pPr>
      <w:keepNext/>
      <w:keepLines/>
      <w:spacing w:line="259" w:lineRule="auto"/>
      <w:outlineLvl w:val="0"/>
    </w:pPr>
    <w:rPr>
      <w:rFonts w:eastAsiaTheme="majorEastAsia" w:cstheme="majorBidi"/>
      <w:b/>
      <w:color w:val="640000"/>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29DA"/>
    <w:rPr>
      <w:rFonts w:eastAsiaTheme="majorEastAsia" w:cstheme="majorBidi"/>
      <w:b/>
      <w:color w:val="640000"/>
      <w:sz w:val="32"/>
      <w:szCs w:val="32"/>
      <w14:ligatures w14:val="standard"/>
    </w:rPr>
  </w:style>
  <w:style w:type="character" w:styleId="Hyperlink">
    <w:name w:val="Hyperlink"/>
    <w:basedOn w:val="DefaultParagraphFont"/>
    <w:uiPriority w:val="99"/>
    <w:unhideWhenUsed/>
    <w:rsid w:val="003829DA"/>
    <w:rPr>
      <w:color w:val="0563C1" w:themeColor="hyperlink"/>
      <w:u w:val="single"/>
    </w:rPr>
  </w:style>
  <w:style w:type="character" w:customStyle="1" w:styleId="UnresolvedMention">
    <w:name w:val="Unresolved Mention"/>
    <w:basedOn w:val="DefaultParagraphFont"/>
    <w:uiPriority w:val="99"/>
    <w:semiHidden/>
    <w:unhideWhenUsed/>
    <w:rsid w:val="003829DA"/>
    <w:rPr>
      <w:color w:val="605E5C"/>
      <w:shd w:val="clear" w:color="auto" w:fill="E1DFDD"/>
    </w:rPr>
  </w:style>
  <w:style w:type="paragraph" w:customStyle="1" w:styleId="Body">
    <w:name w:val="Body"/>
    <w:rsid w:val="003829DA"/>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ListParagraph">
    <w:name w:val="List Paragraph"/>
    <w:basedOn w:val="Normal"/>
    <w:uiPriority w:val="34"/>
    <w:qFormat/>
    <w:rsid w:val="003829DA"/>
    <w:pPr>
      <w:ind w:left="720"/>
      <w:contextualSpacing/>
    </w:pPr>
  </w:style>
  <w:style w:type="paragraph" w:customStyle="1" w:styleId="body0">
    <w:name w:val="body"/>
    <w:basedOn w:val="Normal"/>
    <w:rsid w:val="004A4DCE"/>
    <w:rPr>
      <w:rFonts w:cs="Arial"/>
      <w:szCs w:val="22"/>
      <w14:ligatures w14:val="standard"/>
    </w:rPr>
  </w:style>
  <w:style w:type="paragraph" w:customStyle="1" w:styleId="SideHeadings">
    <w:name w:val="Side Headings"/>
    <w:basedOn w:val="Normal"/>
    <w:qFormat/>
    <w:rsid w:val="004A4DCE"/>
    <w:pPr>
      <w:spacing w:before="120"/>
    </w:pPr>
    <w:rPr>
      <w:rFonts w:cs="Arial"/>
      <w:b/>
      <w:color w:val="3B3838" w:themeColor="background2" w:themeShade="40"/>
      <w:szCs w:val="22"/>
      <w14:ligatures w14:val="standard"/>
    </w:rPr>
  </w:style>
  <w:style w:type="paragraph" w:styleId="Header">
    <w:name w:val="header"/>
    <w:basedOn w:val="Normal"/>
    <w:link w:val="HeaderChar"/>
    <w:uiPriority w:val="99"/>
    <w:unhideWhenUsed/>
    <w:rsid w:val="004A4DCE"/>
    <w:pPr>
      <w:tabs>
        <w:tab w:val="center" w:pos="4680"/>
        <w:tab w:val="right" w:pos="9360"/>
      </w:tabs>
    </w:pPr>
  </w:style>
  <w:style w:type="character" w:customStyle="1" w:styleId="HeaderChar">
    <w:name w:val="Header Char"/>
    <w:basedOn w:val="DefaultParagraphFont"/>
    <w:link w:val="Header"/>
    <w:uiPriority w:val="99"/>
    <w:rsid w:val="004A4DCE"/>
  </w:style>
  <w:style w:type="paragraph" w:styleId="Footer">
    <w:name w:val="footer"/>
    <w:basedOn w:val="Normal"/>
    <w:link w:val="FooterChar"/>
    <w:uiPriority w:val="99"/>
    <w:unhideWhenUsed/>
    <w:rsid w:val="004A4DCE"/>
    <w:pPr>
      <w:tabs>
        <w:tab w:val="center" w:pos="4680"/>
        <w:tab w:val="right" w:pos="9360"/>
      </w:tabs>
    </w:pPr>
  </w:style>
  <w:style w:type="character" w:customStyle="1" w:styleId="FooterChar">
    <w:name w:val="Footer Char"/>
    <w:basedOn w:val="DefaultParagraphFont"/>
    <w:link w:val="Footer"/>
    <w:uiPriority w:val="99"/>
    <w:rsid w:val="004A4DCE"/>
  </w:style>
  <w:style w:type="paragraph" w:customStyle="1" w:styleId="PageNumbers">
    <w:name w:val="Page Numbers"/>
    <w:basedOn w:val="Footer"/>
    <w:qFormat/>
    <w:rsid w:val="004A4DCE"/>
    <w:pPr>
      <w:tabs>
        <w:tab w:val="clear" w:pos="4680"/>
        <w:tab w:val="clear" w:pos="9360"/>
        <w:tab w:val="center" w:pos="4513"/>
        <w:tab w:val="right" w:pos="9026"/>
      </w:tabs>
      <w:jc w:val="right"/>
    </w:pPr>
    <w:rPr>
      <w:rFonts w:cs="Arial"/>
      <w:b/>
      <w:color w:val="640000"/>
      <w:sz w:val="32"/>
      <w:szCs w:val="22"/>
      <w14:ligatures w14:val="standard"/>
    </w:rPr>
  </w:style>
  <w:style w:type="character" w:styleId="FollowedHyperlink">
    <w:name w:val="FollowedHyperlink"/>
    <w:basedOn w:val="DefaultParagraphFont"/>
    <w:uiPriority w:val="99"/>
    <w:semiHidden/>
    <w:unhideWhenUsed/>
    <w:rsid w:val="00724160"/>
    <w:rPr>
      <w:color w:val="954F72" w:themeColor="followedHyperlink"/>
      <w:u w:val="single"/>
    </w:rPr>
  </w:style>
  <w:style w:type="paragraph" w:styleId="PlainText">
    <w:name w:val="Plain Text"/>
    <w:basedOn w:val="Normal"/>
    <w:link w:val="PlainTextChar"/>
    <w:unhideWhenUsed/>
    <w:rsid w:val="00BD61DE"/>
    <w:rPr>
      <w:rFonts w:ascii="Courier New" w:eastAsia="Times New Roman" w:hAnsi="Courier New" w:cs="Courier New"/>
      <w:sz w:val="20"/>
      <w:szCs w:val="20"/>
    </w:rPr>
  </w:style>
  <w:style w:type="character" w:customStyle="1" w:styleId="PlainTextChar">
    <w:name w:val="Plain Text Char"/>
    <w:basedOn w:val="DefaultParagraphFont"/>
    <w:link w:val="PlainText"/>
    <w:rsid w:val="00BD61DE"/>
    <w:rPr>
      <w:rFonts w:ascii="Courier New" w:eastAsia="Times New Roman" w:hAnsi="Courier New" w:cs="Courier New"/>
      <w:sz w:val="20"/>
      <w:szCs w:val="20"/>
    </w:rPr>
  </w:style>
  <w:style w:type="paragraph" w:styleId="NormalWeb">
    <w:name w:val="Normal (Web)"/>
    <w:basedOn w:val="Normal"/>
    <w:uiPriority w:val="99"/>
    <w:semiHidden/>
    <w:unhideWhenUsed/>
    <w:rsid w:val="00A73A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ac.uk/__data/assets/pdf_file/0005/653648/AcademicMisconductProcedure.pdf" TargetMode="External"/><Relationship Id="rId3" Type="http://schemas.openxmlformats.org/officeDocument/2006/relationships/settings" Target="settings.xml"/><Relationship Id="rId7" Type="http://schemas.openxmlformats.org/officeDocument/2006/relationships/hyperlink" Target="https://www.salford.ac.uk/skills/skills-e-learning/university-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8039</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9431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danmwasmo@gmail.com</cp:lastModifiedBy>
  <cp:revision>2</cp:revision>
  <dcterms:created xsi:type="dcterms:W3CDTF">2022-04-30T08:44:00Z</dcterms:created>
  <dcterms:modified xsi:type="dcterms:W3CDTF">2022-04-30T08:44:00Z</dcterms:modified>
  <cp:category/>
</cp:coreProperties>
</file>