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C16" w:rsidRDefault="0090585D">
      <w:pPr>
        <w:rPr>
          <w:rFonts w:ascii="Open Sans" w:hAnsi="Open Sans" w:cs="Open Sans"/>
          <w:b/>
          <w:color w:val="000000"/>
          <w:sz w:val="32"/>
          <w:szCs w:val="32"/>
        </w:rPr>
      </w:pPr>
      <w:bookmarkStart w:id="0" w:name="_GoBack"/>
      <w:bookmarkEnd w:id="0"/>
      <w:r>
        <w:rPr>
          <w:rFonts w:ascii="Open Sans" w:hAnsi="Open Sans" w:cs="Open Sans"/>
          <w:b/>
          <w:color w:val="000000"/>
          <w:sz w:val="28"/>
        </w:rPr>
        <w:tab/>
      </w:r>
      <w:r>
        <w:rPr>
          <w:rFonts w:ascii="Open Sans" w:hAnsi="Open Sans" w:cs="Open Sans"/>
          <w:b/>
          <w:color w:val="000000"/>
          <w:sz w:val="28"/>
        </w:rPr>
        <w:tab/>
      </w:r>
      <w:r>
        <w:rPr>
          <w:rFonts w:ascii="Open Sans" w:hAnsi="Open Sans" w:cs="Open Sans"/>
          <w:b/>
          <w:color w:val="000000"/>
          <w:sz w:val="28"/>
        </w:rPr>
        <w:tab/>
      </w:r>
      <w:r>
        <w:rPr>
          <w:rFonts w:ascii="Open Sans" w:hAnsi="Open Sans" w:cs="Open Sans"/>
          <w:b/>
          <w:color w:val="000000"/>
          <w:sz w:val="28"/>
        </w:rPr>
        <w:tab/>
      </w:r>
      <w:r>
        <w:rPr>
          <w:rFonts w:ascii="Open Sans" w:hAnsi="Open Sans" w:cs="Open Sans"/>
          <w:b/>
          <w:color w:val="000000"/>
          <w:sz w:val="40"/>
          <w:szCs w:val="40"/>
        </w:rPr>
        <w:t>Assessment Brief</w:t>
      </w:r>
    </w:p>
    <w:p w:rsidR="00751C16" w:rsidRDefault="00751C16">
      <w:pPr>
        <w:jc w:val="center"/>
        <w:rPr>
          <w:rFonts w:ascii="Open Sans" w:hAnsi="Open Sans" w:cs="Open Sans"/>
          <w:b/>
          <w:color w:val="000000"/>
          <w:sz w:val="24"/>
        </w:rPr>
      </w:pPr>
    </w:p>
    <w:p w:rsidR="00751C16" w:rsidRDefault="00751C16">
      <w:pPr>
        <w:rPr>
          <w:rFonts w:ascii="Open Sans" w:hAnsi="Open Sans" w:cs="Open Sans"/>
          <w:b/>
          <w:color w:val="000000"/>
          <w:sz w:val="24"/>
        </w:rPr>
      </w:pPr>
    </w:p>
    <w:p w:rsidR="00751C16" w:rsidRDefault="0090585D">
      <w:pPr>
        <w:rPr>
          <w:rFonts w:ascii="Open Sans" w:hAnsi="Open Sans" w:cs="Open Sans"/>
          <w:color w:val="000000"/>
          <w:sz w:val="24"/>
        </w:rPr>
      </w:pPr>
      <w:r>
        <w:rPr>
          <w:rFonts w:ascii="Open Sans" w:hAnsi="Open Sans" w:cs="Open Sans"/>
          <w:b/>
          <w:color w:val="000000"/>
          <w:sz w:val="24"/>
        </w:rPr>
        <w:t xml:space="preserve">Module Name: </w:t>
      </w:r>
    </w:p>
    <w:p w:rsidR="00751C16" w:rsidRDefault="00751C16">
      <w:pPr>
        <w:jc w:val="center"/>
        <w:rPr>
          <w:rFonts w:ascii="Open Sans" w:hAnsi="Open Sans" w:cs="Open Sans"/>
          <w:color w:val="000000"/>
          <w:sz w:val="24"/>
        </w:rPr>
      </w:pPr>
    </w:p>
    <w:tbl>
      <w:tblPr>
        <w:tblStyle w:val="GridTable6Colorful"/>
        <w:tblW w:w="9738" w:type="dxa"/>
        <w:tblLook w:val="06A0" w:firstRow="1" w:lastRow="0" w:firstColumn="1" w:lastColumn="0" w:noHBand="1" w:noVBand="1"/>
      </w:tblPr>
      <w:tblGrid>
        <w:gridCol w:w="1999"/>
        <w:gridCol w:w="1999"/>
        <w:gridCol w:w="1999"/>
        <w:gridCol w:w="3741"/>
      </w:tblGrid>
      <w:tr w:rsidR="00751C16" w:rsidTr="00751C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Borders>
              <w:bottom w:val="single" w:sz="12" w:space="0" w:color="666666"/>
            </w:tcBorders>
            <w:shd w:val="clear" w:color="auto" w:fill="auto"/>
          </w:tcPr>
          <w:p w:rsidR="00751C16" w:rsidRDefault="0090585D">
            <w:pPr>
              <w:jc w:val="center"/>
              <w:rPr>
                <w:rFonts w:ascii="Open Sans" w:hAnsi="Open Sans" w:cs="Open Sans"/>
                <w:b w:val="0"/>
                <w:color w:val="000000"/>
                <w:sz w:val="24"/>
              </w:rPr>
            </w:pPr>
            <w:r>
              <w:rPr>
                <w:rFonts w:ascii="Open Sans" w:hAnsi="Open Sans" w:cs="Open Sans"/>
                <w:color w:val="000000" w:themeColor="text1"/>
                <w:sz w:val="24"/>
              </w:rPr>
              <w:t>Module Code</w:t>
            </w:r>
          </w:p>
        </w:tc>
        <w:tc>
          <w:tcPr>
            <w:tcW w:w="1999" w:type="dxa"/>
            <w:tcBorders>
              <w:bottom w:val="single" w:sz="12" w:space="0" w:color="666666"/>
            </w:tcBorders>
            <w:shd w:val="clear" w:color="auto" w:fill="auto"/>
          </w:tcPr>
          <w:p w:rsidR="00751C16" w:rsidRDefault="0090585D">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000000"/>
                <w:sz w:val="24"/>
              </w:rPr>
            </w:pPr>
            <w:r>
              <w:rPr>
                <w:rFonts w:ascii="Open Sans" w:hAnsi="Open Sans" w:cs="Open Sans"/>
                <w:color w:val="000000" w:themeColor="text1"/>
                <w:sz w:val="24"/>
              </w:rPr>
              <w:t>Level</w:t>
            </w:r>
          </w:p>
        </w:tc>
        <w:tc>
          <w:tcPr>
            <w:tcW w:w="1999" w:type="dxa"/>
            <w:tcBorders>
              <w:bottom w:val="single" w:sz="12" w:space="0" w:color="666666"/>
            </w:tcBorders>
            <w:shd w:val="clear" w:color="auto" w:fill="auto"/>
          </w:tcPr>
          <w:p w:rsidR="00751C16" w:rsidRDefault="0090585D">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000000"/>
                <w:sz w:val="24"/>
              </w:rPr>
            </w:pPr>
            <w:r>
              <w:rPr>
                <w:rFonts w:ascii="Open Sans" w:hAnsi="Open Sans" w:cs="Open Sans"/>
                <w:color w:val="000000" w:themeColor="text1"/>
                <w:sz w:val="24"/>
              </w:rPr>
              <w:t>Credit Value</w:t>
            </w:r>
          </w:p>
        </w:tc>
        <w:tc>
          <w:tcPr>
            <w:tcW w:w="3741" w:type="dxa"/>
            <w:tcBorders>
              <w:bottom w:val="single" w:sz="12" w:space="0" w:color="666666"/>
            </w:tcBorders>
            <w:shd w:val="clear" w:color="auto" w:fill="auto"/>
          </w:tcPr>
          <w:p w:rsidR="00751C16" w:rsidRDefault="0090585D">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000000"/>
                <w:sz w:val="24"/>
              </w:rPr>
            </w:pPr>
            <w:r>
              <w:rPr>
                <w:rFonts w:ascii="Open Sans" w:hAnsi="Open Sans" w:cs="Open Sans"/>
                <w:color w:val="000000" w:themeColor="text1"/>
                <w:sz w:val="24"/>
              </w:rPr>
              <w:t>Module Leader</w:t>
            </w:r>
          </w:p>
        </w:tc>
      </w:tr>
      <w:tr w:rsidR="00751C16" w:rsidTr="00751C16">
        <w:trPr>
          <w:trHeight w:val="730"/>
        </w:trPr>
        <w:tc>
          <w:tcPr>
            <w:cnfStyle w:val="001000000000" w:firstRow="0" w:lastRow="0" w:firstColumn="1" w:lastColumn="0" w:oddVBand="0" w:evenVBand="0" w:oddHBand="0" w:evenHBand="0" w:firstRowFirstColumn="0" w:firstRowLastColumn="0" w:lastRowFirstColumn="0" w:lastRowLastColumn="0"/>
            <w:tcW w:w="1998" w:type="dxa"/>
            <w:shd w:val="clear" w:color="auto" w:fill="auto"/>
          </w:tcPr>
          <w:p w:rsidR="00751C16" w:rsidRDefault="0090585D">
            <w:pPr>
              <w:pStyle w:val="Heading8"/>
              <w:outlineLvl w:val="7"/>
              <w:rPr>
                <w:rFonts w:ascii="Open Sans" w:hAnsi="Open Sans" w:cs="Open Sans"/>
                <w:color w:val="000000"/>
              </w:rPr>
            </w:pPr>
            <w:r>
              <w:rPr>
                <w:rFonts w:ascii="Open Sans" w:hAnsi="Open Sans" w:cs="Open Sans"/>
                <w:color w:val="000000" w:themeColor="text1"/>
              </w:rPr>
              <w:t>MKT3025</w:t>
            </w:r>
          </w:p>
        </w:tc>
        <w:tc>
          <w:tcPr>
            <w:tcW w:w="1999" w:type="dxa"/>
            <w:shd w:val="clear" w:color="auto" w:fill="auto"/>
          </w:tcPr>
          <w:p w:rsidR="00751C16" w:rsidRDefault="009058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4"/>
              </w:rPr>
            </w:pPr>
            <w:r>
              <w:rPr>
                <w:rFonts w:ascii="Open Sans" w:hAnsi="Open Sans" w:cs="Open Sans"/>
                <w:color w:val="000000" w:themeColor="text1"/>
                <w:sz w:val="24"/>
              </w:rPr>
              <w:t>6</w:t>
            </w:r>
          </w:p>
        </w:tc>
        <w:tc>
          <w:tcPr>
            <w:tcW w:w="1999" w:type="dxa"/>
            <w:shd w:val="clear" w:color="auto" w:fill="auto"/>
          </w:tcPr>
          <w:p w:rsidR="00751C16" w:rsidRDefault="0090585D">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4"/>
              </w:rPr>
            </w:pPr>
            <w:r>
              <w:rPr>
                <w:rFonts w:ascii="Open Sans" w:hAnsi="Open Sans" w:cs="Open Sans"/>
                <w:color w:val="000000" w:themeColor="text1"/>
                <w:sz w:val="24"/>
              </w:rPr>
              <w:t>20</w:t>
            </w:r>
          </w:p>
        </w:tc>
        <w:tc>
          <w:tcPr>
            <w:tcW w:w="3741" w:type="dxa"/>
            <w:shd w:val="clear" w:color="auto" w:fill="auto"/>
          </w:tcPr>
          <w:p w:rsidR="00751C16" w:rsidRDefault="00751C16">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4"/>
                <w:szCs w:val="24"/>
              </w:rPr>
            </w:pPr>
          </w:p>
        </w:tc>
      </w:tr>
    </w:tbl>
    <w:p w:rsidR="00751C16" w:rsidRDefault="00751C16">
      <w:pPr>
        <w:rPr>
          <w:rFonts w:ascii="Open Sans" w:hAnsi="Open Sans" w:cs="Open Sans"/>
          <w:color w:val="000000"/>
          <w:sz w:val="22"/>
          <w:szCs w:val="22"/>
        </w:rPr>
      </w:pPr>
    </w:p>
    <w:p w:rsidR="00751C16" w:rsidRDefault="00751C16">
      <w:pPr>
        <w:rPr>
          <w:rFonts w:ascii="Open Sans" w:hAnsi="Open Sans" w:cs="Open Sans"/>
          <w:b/>
          <w:color w:val="000000"/>
          <w:sz w:val="22"/>
          <w:szCs w:val="22"/>
        </w:rPr>
      </w:pPr>
    </w:p>
    <w:tbl>
      <w:tblPr>
        <w:tblStyle w:val="GridTable6Colorful"/>
        <w:tblW w:w="9840" w:type="dxa"/>
        <w:tblLook w:val="06A0" w:firstRow="1" w:lastRow="0" w:firstColumn="1" w:lastColumn="0" w:noHBand="1" w:noVBand="1"/>
      </w:tblPr>
      <w:tblGrid>
        <w:gridCol w:w="2640"/>
        <w:gridCol w:w="7200"/>
      </w:tblGrid>
      <w:tr w:rsidR="00751C16" w:rsidTr="00751C16">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2640" w:type="dxa"/>
            <w:tcBorders>
              <w:bottom w:val="single" w:sz="12" w:space="0" w:color="666666"/>
            </w:tcBorders>
            <w:shd w:val="clear" w:color="auto" w:fill="auto"/>
          </w:tcPr>
          <w:p w:rsidR="00751C16" w:rsidRDefault="00751C16">
            <w:pPr>
              <w:rPr>
                <w:rFonts w:ascii="Open Sans" w:hAnsi="Open Sans" w:cs="Open Sans"/>
                <w:b w:val="0"/>
                <w:color w:val="000000"/>
                <w:sz w:val="24"/>
                <w:szCs w:val="24"/>
              </w:rPr>
            </w:pPr>
          </w:p>
          <w:p w:rsidR="00751C16" w:rsidRDefault="0090585D">
            <w:pPr>
              <w:rPr>
                <w:rFonts w:ascii="Open Sans" w:hAnsi="Open Sans" w:cs="Open Sans"/>
                <w:b w:val="0"/>
                <w:color w:val="000000"/>
                <w:sz w:val="24"/>
                <w:szCs w:val="24"/>
              </w:rPr>
            </w:pPr>
            <w:r>
              <w:rPr>
                <w:rFonts w:ascii="Open Sans" w:hAnsi="Open Sans" w:cs="Open Sans"/>
                <w:color w:val="000000" w:themeColor="text1"/>
                <w:sz w:val="24"/>
                <w:szCs w:val="24"/>
              </w:rPr>
              <w:t>Assessment title:</w:t>
            </w:r>
          </w:p>
          <w:p w:rsidR="00751C16" w:rsidRDefault="00751C16">
            <w:pPr>
              <w:rPr>
                <w:rFonts w:ascii="Open Sans" w:hAnsi="Open Sans" w:cs="Open Sans"/>
                <w:b w:val="0"/>
                <w:color w:val="000000"/>
                <w:sz w:val="24"/>
                <w:szCs w:val="24"/>
              </w:rPr>
            </w:pPr>
          </w:p>
        </w:tc>
        <w:tc>
          <w:tcPr>
            <w:tcW w:w="7199" w:type="dxa"/>
            <w:tcBorders>
              <w:bottom w:val="single" w:sz="12" w:space="0" w:color="666666"/>
            </w:tcBorders>
            <w:shd w:val="clear" w:color="auto" w:fill="auto"/>
          </w:tcPr>
          <w:p w:rsidR="00751C16" w:rsidRDefault="00751C16">
            <w:pPr>
              <w:cnfStyle w:val="100000000000" w:firstRow="1" w:lastRow="0" w:firstColumn="0" w:lastColumn="0" w:oddVBand="0" w:evenVBand="0" w:oddHBand="0" w:evenHBand="0" w:firstRowFirstColumn="0" w:firstRowLastColumn="0" w:lastRowFirstColumn="0" w:lastRowLastColumn="0"/>
              <w:rPr>
                <w:rFonts w:ascii="Open Sans" w:hAnsi="Open Sans" w:cs="Open Sans"/>
                <w:bCs w:val="0"/>
                <w:color w:val="000000"/>
                <w:sz w:val="22"/>
                <w:szCs w:val="22"/>
              </w:rPr>
            </w:pPr>
          </w:p>
          <w:p w:rsidR="00751C16" w:rsidRDefault="0090585D">
            <w:pPr>
              <w:cnfStyle w:val="100000000000" w:firstRow="1" w:lastRow="0" w:firstColumn="0" w:lastColumn="0" w:oddVBand="0" w:evenVBand="0" w:oddHBand="0" w:evenHBand="0" w:firstRowFirstColumn="0" w:firstRowLastColumn="0" w:lastRowFirstColumn="0" w:lastRowLastColumn="0"/>
              <w:rPr>
                <w:rFonts w:ascii="Open Sans" w:hAnsi="Open Sans" w:cs="Open Sans"/>
                <w:b w:val="0"/>
                <w:color w:val="000000"/>
                <w:sz w:val="22"/>
                <w:szCs w:val="22"/>
              </w:rPr>
            </w:pPr>
            <w:r>
              <w:rPr>
                <w:rFonts w:ascii="Open Sans" w:hAnsi="Open Sans" w:cs="Open Sans"/>
                <w:b w:val="0"/>
                <w:color w:val="000000" w:themeColor="text1"/>
                <w:sz w:val="22"/>
                <w:szCs w:val="22"/>
              </w:rPr>
              <w:t>AS1</w:t>
            </w:r>
          </w:p>
        </w:tc>
      </w:tr>
      <w:tr w:rsidR="00751C16" w:rsidTr="00751C16">
        <w:trPr>
          <w:trHeight w:val="570"/>
        </w:trPr>
        <w:tc>
          <w:tcPr>
            <w:cnfStyle w:val="001000000000" w:firstRow="0" w:lastRow="0" w:firstColumn="1" w:lastColumn="0" w:oddVBand="0" w:evenVBand="0" w:oddHBand="0" w:evenHBand="0" w:firstRowFirstColumn="0" w:firstRowLastColumn="0" w:lastRowFirstColumn="0" w:lastRowLastColumn="0"/>
            <w:tcW w:w="2640" w:type="dxa"/>
            <w:shd w:val="clear" w:color="auto" w:fill="auto"/>
            <w:vAlign w:val="center"/>
          </w:tcPr>
          <w:p w:rsidR="00751C16" w:rsidRDefault="0090585D">
            <w:pPr>
              <w:rPr>
                <w:rFonts w:ascii="Open Sans" w:hAnsi="Open Sans" w:cs="Open Sans"/>
                <w:b w:val="0"/>
                <w:color w:val="000000"/>
                <w:sz w:val="24"/>
                <w:szCs w:val="24"/>
              </w:rPr>
            </w:pPr>
            <w:r>
              <w:rPr>
                <w:rFonts w:ascii="Open Sans" w:hAnsi="Open Sans" w:cs="Open Sans"/>
                <w:color w:val="000000" w:themeColor="text1"/>
                <w:sz w:val="24"/>
                <w:szCs w:val="24"/>
              </w:rPr>
              <w:t>Weighting:</w:t>
            </w:r>
          </w:p>
        </w:tc>
        <w:tc>
          <w:tcPr>
            <w:tcW w:w="7199" w:type="dxa"/>
            <w:shd w:val="clear" w:color="auto" w:fill="auto"/>
            <w:vAlign w:val="center"/>
          </w:tcPr>
          <w:p w:rsidR="00751C16" w:rsidRDefault="0090585D">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C00000"/>
                <w:sz w:val="22"/>
                <w:szCs w:val="22"/>
              </w:rPr>
            </w:pPr>
            <w:r>
              <w:rPr>
                <w:rFonts w:ascii="Open Sans" w:hAnsi="Open Sans" w:cs="Open Sans"/>
                <w:b/>
                <w:color w:val="000000" w:themeColor="text1"/>
                <w:sz w:val="22"/>
                <w:szCs w:val="22"/>
              </w:rPr>
              <w:t>50%</w:t>
            </w:r>
          </w:p>
        </w:tc>
      </w:tr>
      <w:tr w:rsidR="00751C16" w:rsidTr="00751C16">
        <w:trPr>
          <w:trHeight w:val="570"/>
        </w:trPr>
        <w:tc>
          <w:tcPr>
            <w:cnfStyle w:val="001000000000" w:firstRow="0" w:lastRow="0" w:firstColumn="1" w:lastColumn="0" w:oddVBand="0" w:evenVBand="0" w:oddHBand="0" w:evenHBand="0" w:firstRowFirstColumn="0" w:firstRowLastColumn="0" w:lastRowFirstColumn="0" w:lastRowLastColumn="0"/>
            <w:tcW w:w="2640" w:type="dxa"/>
            <w:shd w:val="clear" w:color="auto" w:fill="auto"/>
            <w:vAlign w:val="center"/>
          </w:tcPr>
          <w:p w:rsidR="00751C16" w:rsidRDefault="0090585D">
            <w:pPr>
              <w:rPr>
                <w:rFonts w:ascii="Open Sans" w:hAnsi="Open Sans" w:cs="Open Sans"/>
                <w:b w:val="0"/>
                <w:color w:val="000000"/>
                <w:sz w:val="24"/>
                <w:szCs w:val="24"/>
              </w:rPr>
            </w:pPr>
            <w:r>
              <w:rPr>
                <w:rFonts w:ascii="Open Sans" w:hAnsi="Open Sans" w:cs="Open Sans"/>
                <w:color w:val="000000" w:themeColor="text1"/>
                <w:sz w:val="24"/>
                <w:szCs w:val="24"/>
              </w:rPr>
              <w:t>Submission dates:</w:t>
            </w:r>
          </w:p>
        </w:tc>
        <w:tc>
          <w:tcPr>
            <w:tcW w:w="7199" w:type="dxa"/>
            <w:shd w:val="clear" w:color="auto" w:fill="auto"/>
            <w:vAlign w:val="center"/>
          </w:tcPr>
          <w:p w:rsidR="00751C16" w:rsidRDefault="0090585D">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b/>
                <w:color w:val="000000" w:themeColor="text1"/>
                <w:sz w:val="22"/>
                <w:szCs w:val="22"/>
              </w:rPr>
              <w:t>Please see NILE under Assessment Information</w:t>
            </w:r>
          </w:p>
        </w:tc>
      </w:tr>
      <w:tr w:rsidR="00751C16" w:rsidTr="00751C16">
        <w:trPr>
          <w:trHeight w:val="570"/>
        </w:trPr>
        <w:tc>
          <w:tcPr>
            <w:cnfStyle w:val="001000000000" w:firstRow="0" w:lastRow="0" w:firstColumn="1" w:lastColumn="0" w:oddVBand="0" w:evenVBand="0" w:oddHBand="0" w:evenHBand="0" w:firstRowFirstColumn="0" w:firstRowLastColumn="0" w:lastRowFirstColumn="0" w:lastRowLastColumn="0"/>
            <w:tcW w:w="2640" w:type="dxa"/>
            <w:shd w:val="clear" w:color="auto" w:fill="auto"/>
          </w:tcPr>
          <w:p w:rsidR="00751C16" w:rsidRDefault="0090585D">
            <w:pPr>
              <w:rPr>
                <w:rFonts w:ascii="Open Sans" w:hAnsi="Open Sans" w:cs="Open Sans"/>
                <w:b w:val="0"/>
                <w:color w:val="000000"/>
                <w:sz w:val="24"/>
                <w:szCs w:val="24"/>
              </w:rPr>
            </w:pPr>
            <w:r>
              <w:rPr>
                <w:rFonts w:ascii="Open Sans" w:hAnsi="Open Sans" w:cs="Open Sans"/>
                <w:color w:val="000000" w:themeColor="text1"/>
                <w:sz w:val="24"/>
                <w:szCs w:val="24"/>
              </w:rPr>
              <w:t>Feedback and Grades due:</w:t>
            </w:r>
          </w:p>
          <w:p w:rsidR="00751C16" w:rsidRDefault="00751C16">
            <w:pPr>
              <w:rPr>
                <w:rFonts w:ascii="Open Sans" w:hAnsi="Open Sans" w:cs="Open Sans"/>
                <w:b w:val="0"/>
                <w:color w:val="000000"/>
                <w:sz w:val="24"/>
                <w:szCs w:val="24"/>
              </w:rPr>
            </w:pPr>
          </w:p>
        </w:tc>
        <w:tc>
          <w:tcPr>
            <w:tcW w:w="7199" w:type="dxa"/>
            <w:shd w:val="clear" w:color="auto" w:fill="auto"/>
          </w:tcPr>
          <w:p w:rsidR="00751C16" w:rsidRDefault="0090585D">
            <w:pPr>
              <w:cnfStyle w:val="000000000000" w:firstRow="0" w:lastRow="0" w:firstColumn="0" w:lastColumn="0" w:oddVBand="0" w:evenVBand="0" w:oddHBand="0" w:evenHBand="0" w:firstRowFirstColumn="0" w:firstRowLastColumn="0" w:lastRowFirstColumn="0" w:lastRowLastColumn="0"/>
              <w:rPr>
                <w:rFonts w:ascii="Open Sans" w:hAnsi="Open Sans" w:cs="Open Sans"/>
                <w:b/>
                <w:color w:val="000000"/>
                <w:sz w:val="22"/>
                <w:szCs w:val="22"/>
              </w:rPr>
            </w:pPr>
            <w:r>
              <w:rPr>
                <w:rFonts w:ascii="Open Sans" w:hAnsi="Open Sans" w:cs="Open Sans"/>
                <w:b/>
                <w:color w:val="000000" w:themeColor="text1"/>
                <w:sz w:val="22"/>
                <w:szCs w:val="22"/>
              </w:rPr>
              <w:t xml:space="preserve">Please see NILE under </w:t>
            </w:r>
            <w:r>
              <w:rPr>
                <w:rFonts w:ascii="Open Sans" w:hAnsi="Open Sans" w:cs="Open Sans"/>
                <w:b/>
                <w:color w:val="000000" w:themeColor="text1"/>
                <w:sz w:val="22"/>
                <w:szCs w:val="22"/>
              </w:rPr>
              <w:t>Assessment Information</w:t>
            </w:r>
          </w:p>
        </w:tc>
      </w:tr>
    </w:tbl>
    <w:p w:rsidR="00751C16" w:rsidRDefault="00751C16">
      <w:pPr>
        <w:jc w:val="center"/>
        <w:rPr>
          <w:rFonts w:ascii="Open Sans" w:hAnsi="Open Sans" w:cs="Open Sans"/>
          <w:b/>
          <w:color w:val="000000"/>
          <w:sz w:val="44"/>
          <w:szCs w:val="44"/>
        </w:rPr>
      </w:pPr>
    </w:p>
    <w:p w:rsidR="00751C16" w:rsidRDefault="0090585D">
      <w:pPr>
        <w:rPr>
          <w:rFonts w:ascii="Open Sans" w:hAnsi="Open Sans" w:cs="Open Sans"/>
          <w:sz w:val="22"/>
        </w:rPr>
      </w:pPr>
      <w:r>
        <w:rPr>
          <w:rFonts w:ascii="Open Sans" w:hAnsi="Open Sans" w:cs="Open Sans"/>
          <w:sz w:val="22"/>
        </w:rPr>
        <w:t>Please read this assessment brief in its entirety before starting work on the Assessment Task.</w:t>
      </w:r>
    </w:p>
    <w:p w:rsidR="00751C16" w:rsidRDefault="0090585D">
      <w:pPr>
        <w:rPr>
          <w:rFonts w:ascii="Open Sans" w:hAnsi="Open Sans" w:cs="Open Sans"/>
          <w:color w:val="C00000"/>
          <w:sz w:val="22"/>
        </w:rPr>
      </w:pPr>
      <w:r>
        <w:rPr>
          <w:rFonts w:ascii="Open Sans" w:hAnsi="Open Sans" w:cs="Open Sans"/>
          <w:color w:val="C00000"/>
          <w:sz w:val="22"/>
        </w:rPr>
        <w:t xml:space="preserve"> </w:t>
      </w:r>
    </w:p>
    <w:p w:rsidR="00751C16" w:rsidRDefault="0090585D">
      <w:pPr>
        <w:pStyle w:val="Heading1"/>
        <w:rPr>
          <w:rFonts w:cs="Open Sans"/>
        </w:rPr>
      </w:pPr>
      <w:r>
        <w:rPr>
          <w:rFonts w:cs="Open Sans"/>
        </w:rPr>
        <w:t>The Assessment Task</w:t>
      </w:r>
    </w:p>
    <w:p w:rsidR="00751C16" w:rsidRDefault="0090585D">
      <w:pPr>
        <w:pStyle w:val="BodyText2"/>
        <w:spacing w:line="360" w:lineRule="auto"/>
        <w:rPr>
          <w:rFonts w:ascii="Open Sans" w:hAnsi="Open Sans" w:cs="Open Sans"/>
          <w:sz w:val="22"/>
          <w:szCs w:val="22"/>
        </w:rPr>
      </w:pPr>
      <w:r>
        <w:rPr>
          <w:rFonts w:ascii="Open Sans" w:hAnsi="Open Sans" w:cs="Open Sans"/>
          <w:sz w:val="22"/>
          <w:szCs w:val="22"/>
        </w:rPr>
        <w:t xml:space="preserve">You are required to produce a social media marketing plan for an SME based on best practice and the specific needs of the SME. Your marketing plan should span four months. </w:t>
      </w:r>
    </w:p>
    <w:p w:rsidR="00751C16" w:rsidRDefault="0090585D">
      <w:pPr>
        <w:pStyle w:val="BodyText2"/>
        <w:spacing w:line="360" w:lineRule="auto"/>
        <w:rPr>
          <w:rFonts w:ascii="Open Sans" w:hAnsi="Open Sans" w:cs="Open Sans"/>
          <w:sz w:val="22"/>
          <w:szCs w:val="22"/>
        </w:rPr>
      </w:pPr>
      <w:r>
        <w:rPr>
          <w:rFonts w:ascii="Open Sans" w:hAnsi="Open Sans" w:cs="Open Sans"/>
          <w:sz w:val="22"/>
          <w:szCs w:val="22"/>
        </w:rPr>
        <w:t>The social media marketing plan should be produced in a coherent and appropriate fo</w:t>
      </w:r>
      <w:r>
        <w:rPr>
          <w:rFonts w:ascii="Open Sans" w:hAnsi="Open Sans" w:cs="Open Sans"/>
          <w:sz w:val="22"/>
          <w:szCs w:val="22"/>
        </w:rPr>
        <w:t>rmat (provided below), it should also justify and provide evidence for all marketing decisions made.</w:t>
      </w:r>
    </w:p>
    <w:p w:rsidR="00751C16" w:rsidRDefault="0090585D">
      <w:pPr>
        <w:pStyle w:val="BodyText2"/>
        <w:spacing w:line="360" w:lineRule="auto"/>
        <w:rPr>
          <w:rFonts w:ascii="Open Sans" w:hAnsi="Open Sans" w:cs="Open Sans"/>
          <w:sz w:val="22"/>
          <w:szCs w:val="22"/>
        </w:rPr>
      </w:pPr>
      <w:r>
        <w:rPr>
          <w:rFonts w:ascii="Open Sans" w:hAnsi="Open Sans" w:cs="Open Sans"/>
          <w:sz w:val="22"/>
          <w:szCs w:val="22"/>
        </w:rPr>
        <w:t xml:space="preserve">You are required to provide a brief description / detail of your chosen SME in the introduction. </w:t>
      </w:r>
    </w:p>
    <w:p w:rsidR="00751C16" w:rsidRDefault="0090585D">
      <w:pPr>
        <w:pStyle w:val="BodyText2"/>
        <w:spacing w:line="360" w:lineRule="auto"/>
        <w:rPr>
          <w:rFonts w:ascii="Open Sans" w:hAnsi="Open Sans" w:cs="Open Sans"/>
          <w:b/>
          <w:sz w:val="22"/>
          <w:szCs w:val="22"/>
        </w:rPr>
      </w:pPr>
      <w:r>
        <w:rPr>
          <w:rFonts w:ascii="Open Sans" w:hAnsi="Open Sans" w:cs="Open Sans"/>
          <w:b/>
          <w:sz w:val="22"/>
          <w:szCs w:val="22"/>
        </w:rPr>
        <w:t>Suggested social media marketing plan outline (Tuten, Sol</w:t>
      </w:r>
      <w:r>
        <w:rPr>
          <w:rFonts w:ascii="Open Sans" w:hAnsi="Open Sans" w:cs="Open Sans"/>
          <w:b/>
          <w:sz w:val="22"/>
          <w:szCs w:val="22"/>
        </w:rPr>
        <w:t>omon 2013):</w:t>
      </w:r>
    </w:p>
    <w:p w:rsidR="00751C16" w:rsidRDefault="0090585D">
      <w:pPr>
        <w:pStyle w:val="BodyText2"/>
        <w:spacing w:line="360" w:lineRule="auto"/>
        <w:rPr>
          <w:rFonts w:ascii="Open Sans" w:hAnsi="Open Sans" w:cs="Open Sans"/>
          <w:sz w:val="22"/>
          <w:szCs w:val="22"/>
        </w:rPr>
      </w:pPr>
      <w:r>
        <w:rPr>
          <w:rFonts w:ascii="Open Sans" w:hAnsi="Open Sans" w:cs="Open Sans"/>
          <w:sz w:val="22"/>
          <w:szCs w:val="22"/>
        </w:rPr>
        <w:t>Executive summary / intro to business</w:t>
      </w:r>
    </w:p>
    <w:p w:rsidR="00751C16" w:rsidRDefault="0090585D">
      <w:pPr>
        <w:pStyle w:val="BodyText2"/>
        <w:spacing w:line="360" w:lineRule="auto"/>
        <w:rPr>
          <w:rFonts w:ascii="Open Sans" w:hAnsi="Open Sans" w:cs="Open Sans"/>
          <w:sz w:val="22"/>
          <w:szCs w:val="22"/>
        </w:rPr>
      </w:pPr>
      <w:r>
        <w:rPr>
          <w:rFonts w:ascii="Open Sans" w:hAnsi="Open Sans" w:cs="Open Sans"/>
          <w:sz w:val="22"/>
          <w:szCs w:val="22"/>
        </w:rPr>
        <w:t>Marketing audit (current marketing situation) – internal, external, SWOT</w:t>
      </w:r>
    </w:p>
    <w:p w:rsidR="00751C16" w:rsidRDefault="0090585D">
      <w:pPr>
        <w:pStyle w:val="BodyText2"/>
        <w:spacing w:line="360" w:lineRule="auto"/>
        <w:rPr>
          <w:rFonts w:ascii="Open Sans" w:hAnsi="Open Sans" w:cs="Open Sans"/>
          <w:sz w:val="22"/>
          <w:szCs w:val="22"/>
        </w:rPr>
      </w:pPr>
      <w:r>
        <w:rPr>
          <w:rFonts w:ascii="Open Sans" w:hAnsi="Open Sans" w:cs="Open Sans"/>
          <w:sz w:val="22"/>
          <w:szCs w:val="22"/>
        </w:rPr>
        <w:t xml:space="preserve">State objectives </w:t>
      </w:r>
    </w:p>
    <w:p w:rsidR="00751C16" w:rsidRDefault="0090585D">
      <w:pPr>
        <w:pStyle w:val="BodyText2"/>
        <w:spacing w:line="360" w:lineRule="auto"/>
        <w:rPr>
          <w:rFonts w:ascii="Open Sans" w:hAnsi="Open Sans" w:cs="Open Sans"/>
          <w:sz w:val="22"/>
          <w:szCs w:val="22"/>
        </w:rPr>
      </w:pPr>
      <w:r>
        <w:rPr>
          <w:rFonts w:ascii="Open Sans" w:hAnsi="Open Sans" w:cs="Open Sans"/>
          <w:sz w:val="22"/>
          <w:szCs w:val="22"/>
        </w:rPr>
        <w:t>Gather insight into target audience</w:t>
      </w:r>
    </w:p>
    <w:p w:rsidR="00751C16" w:rsidRDefault="0090585D">
      <w:pPr>
        <w:pStyle w:val="BodyText2"/>
        <w:spacing w:line="360" w:lineRule="auto"/>
        <w:rPr>
          <w:rFonts w:ascii="Open Sans" w:hAnsi="Open Sans" w:cs="Open Sans"/>
          <w:sz w:val="22"/>
          <w:szCs w:val="22"/>
        </w:rPr>
      </w:pPr>
      <w:r>
        <w:rPr>
          <w:rFonts w:ascii="Open Sans" w:hAnsi="Open Sans" w:cs="Open Sans"/>
          <w:sz w:val="22"/>
          <w:szCs w:val="22"/>
        </w:rPr>
        <w:t>Select social media zones and vehicles (relationship, publishing, entertainment</w:t>
      </w:r>
      <w:r>
        <w:rPr>
          <w:rFonts w:ascii="Open Sans" w:hAnsi="Open Sans" w:cs="Open Sans"/>
          <w:sz w:val="22"/>
          <w:szCs w:val="22"/>
        </w:rPr>
        <w:t>, commerce)</w:t>
      </w:r>
    </w:p>
    <w:p w:rsidR="00751C16" w:rsidRDefault="0090585D">
      <w:pPr>
        <w:pStyle w:val="BodyText2"/>
        <w:spacing w:line="360" w:lineRule="auto"/>
        <w:rPr>
          <w:rFonts w:ascii="Open Sans" w:hAnsi="Open Sans" w:cs="Open Sans"/>
          <w:sz w:val="22"/>
          <w:szCs w:val="22"/>
        </w:rPr>
      </w:pPr>
      <w:r>
        <w:rPr>
          <w:rFonts w:ascii="Open Sans" w:hAnsi="Open Sans" w:cs="Open Sans"/>
          <w:sz w:val="22"/>
          <w:szCs w:val="22"/>
        </w:rPr>
        <w:t>Create an experience strategy using selected zones</w:t>
      </w:r>
    </w:p>
    <w:p w:rsidR="00751C16" w:rsidRDefault="0090585D">
      <w:pPr>
        <w:pStyle w:val="BodyText2"/>
        <w:spacing w:line="360" w:lineRule="auto"/>
        <w:rPr>
          <w:rFonts w:ascii="Open Sans" w:hAnsi="Open Sans" w:cs="Open Sans"/>
          <w:sz w:val="22"/>
          <w:szCs w:val="22"/>
        </w:rPr>
      </w:pPr>
      <w:r>
        <w:rPr>
          <w:rFonts w:ascii="Open Sans" w:hAnsi="Open Sans" w:cs="Open Sans"/>
          <w:sz w:val="22"/>
          <w:szCs w:val="22"/>
        </w:rPr>
        <w:t>Establish activation plan (what will do you / when / timescale etc.)</w:t>
      </w:r>
    </w:p>
    <w:p w:rsidR="00751C16" w:rsidRDefault="0090585D">
      <w:pPr>
        <w:pStyle w:val="BodyText2"/>
        <w:spacing w:line="360" w:lineRule="auto"/>
        <w:rPr>
          <w:rFonts w:ascii="Open Sans" w:hAnsi="Open Sans" w:cs="Open Sans"/>
          <w:sz w:val="22"/>
          <w:szCs w:val="22"/>
        </w:rPr>
      </w:pPr>
      <w:r>
        <w:rPr>
          <w:rFonts w:ascii="Open Sans" w:hAnsi="Open Sans" w:cs="Open Sans"/>
          <w:sz w:val="22"/>
          <w:szCs w:val="22"/>
        </w:rPr>
        <w:lastRenderedPageBreak/>
        <w:t>Manage and measure (budgets, controls)</w:t>
      </w:r>
    </w:p>
    <w:p w:rsidR="00751C16" w:rsidRDefault="0090585D">
      <w:pPr>
        <w:pStyle w:val="Heading1"/>
        <w:rPr>
          <w:rFonts w:cs="Open Sans"/>
        </w:rPr>
      </w:pPr>
      <w:r>
        <w:rPr>
          <w:rFonts w:cs="Open Sans"/>
        </w:rPr>
        <w:t>Learning Outcomes</w:t>
      </w:r>
    </w:p>
    <w:p w:rsidR="00751C16" w:rsidRDefault="0090585D">
      <w:pPr>
        <w:pStyle w:val="BodyText2"/>
        <w:spacing w:line="360" w:lineRule="auto"/>
        <w:rPr>
          <w:rFonts w:ascii="Open Sans" w:hAnsi="Open Sans" w:cs="Open Sans"/>
          <w:color w:val="000000"/>
          <w:sz w:val="22"/>
          <w:szCs w:val="22"/>
        </w:rPr>
      </w:pPr>
      <w:r>
        <w:rPr>
          <w:rFonts w:ascii="Open Sans" w:hAnsi="Open Sans" w:cs="Open Sans"/>
          <w:sz w:val="22"/>
          <w:szCs w:val="22"/>
        </w:rPr>
        <w:t xml:space="preserve">On successful completion of this </w:t>
      </w:r>
      <w:r>
        <w:rPr>
          <w:rFonts w:ascii="Open Sans" w:hAnsi="Open Sans" w:cs="Open Sans"/>
          <w:iCs/>
          <w:sz w:val="22"/>
          <w:szCs w:val="22"/>
        </w:rPr>
        <w:t xml:space="preserve">assessment, </w:t>
      </w:r>
      <w:r>
        <w:rPr>
          <w:rFonts w:ascii="Open Sans" w:hAnsi="Open Sans" w:cs="Open Sans"/>
          <w:sz w:val="22"/>
          <w:szCs w:val="22"/>
        </w:rPr>
        <w:t>you will be able to</w:t>
      </w:r>
      <w:r>
        <w:rPr>
          <w:rFonts w:ascii="Open Sans" w:hAnsi="Open Sans" w:cs="Open Sans"/>
          <w:color w:val="000000"/>
          <w:sz w:val="22"/>
          <w:szCs w:val="22"/>
        </w:rPr>
        <w:t>:</w:t>
      </w:r>
    </w:p>
    <w:tbl>
      <w:tblPr>
        <w:tblW w:w="9045" w:type="dxa"/>
        <w:tblCellMar>
          <w:left w:w="7" w:type="dxa"/>
          <w:right w:w="7" w:type="dxa"/>
        </w:tblCellMar>
        <w:tblLook w:val="04A0" w:firstRow="1" w:lastRow="0" w:firstColumn="1" w:lastColumn="0" w:noHBand="0" w:noVBand="1"/>
      </w:tblPr>
      <w:tblGrid>
        <w:gridCol w:w="9045"/>
      </w:tblGrid>
      <w:tr w:rsidR="00751C16">
        <w:trPr>
          <w:trHeight w:val="525"/>
        </w:trPr>
        <w:tc>
          <w:tcPr>
            <w:tcW w:w="9045" w:type="dxa"/>
            <w:tcBorders>
              <w:top w:val="outset" w:sz="6" w:space="0" w:color="000000"/>
              <w:left w:val="single" w:sz="6" w:space="0" w:color="000000"/>
              <w:bottom w:val="single" w:sz="6" w:space="0" w:color="000000"/>
              <w:right w:val="single" w:sz="6" w:space="0" w:color="000000"/>
            </w:tcBorders>
            <w:shd w:val="clear" w:color="auto" w:fill="auto"/>
            <w:vAlign w:val="center"/>
          </w:tcPr>
          <w:p w:rsidR="00751C16" w:rsidRDefault="0090585D">
            <w:pPr>
              <w:pStyle w:val="paragraph"/>
              <w:spacing w:beforeAutospacing="0"/>
              <w:textAlignment w:val="baseline"/>
              <w:rPr>
                <w:rFonts w:ascii="Verdana" w:hAnsi="Verdana"/>
                <w:sz w:val="22"/>
                <w:szCs w:val="22"/>
              </w:rPr>
            </w:pPr>
            <w:r>
              <w:rPr>
                <w:rStyle w:val="normaltextrun"/>
                <w:rFonts w:ascii="Verdana" w:hAnsi="Verdana"/>
                <w:b/>
                <w:bCs/>
                <w:sz w:val="22"/>
                <w:szCs w:val="22"/>
                <w:lang w:val="en-US"/>
              </w:rPr>
              <w:t>Subject-Specific Knowledge, Understanding &amp; Application</w:t>
            </w:r>
            <w:r>
              <w:rPr>
                <w:rStyle w:val="eop"/>
                <w:rFonts w:ascii="Verdana" w:hAnsi="Verdana"/>
                <w:sz w:val="22"/>
                <w:szCs w:val="22"/>
              </w:rPr>
              <w:t> </w:t>
            </w:r>
          </w:p>
        </w:tc>
      </w:tr>
      <w:tr w:rsidR="00751C16">
        <w:trPr>
          <w:trHeight w:val="525"/>
        </w:trPr>
        <w:tc>
          <w:tcPr>
            <w:tcW w:w="9045" w:type="dxa"/>
            <w:tcBorders>
              <w:top w:val="outset" w:sz="6" w:space="0" w:color="000000"/>
              <w:left w:val="single" w:sz="6" w:space="0" w:color="000000"/>
              <w:bottom w:val="single" w:sz="6" w:space="0" w:color="000000"/>
              <w:right w:val="single" w:sz="6" w:space="0" w:color="000000"/>
            </w:tcBorders>
            <w:shd w:val="clear" w:color="auto" w:fill="auto"/>
            <w:vAlign w:val="center"/>
          </w:tcPr>
          <w:p w:rsidR="00751C16" w:rsidRDefault="0090585D">
            <w:pPr>
              <w:pStyle w:val="paragraph"/>
              <w:numPr>
                <w:ilvl w:val="0"/>
                <w:numId w:val="2"/>
              </w:numPr>
              <w:spacing w:beforeAutospacing="0"/>
              <w:ind w:left="360" w:firstLine="0"/>
              <w:textAlignment w:val="baseline"/>
              <w:rPr>
                <w:rFonts w:ascii="Verdana" w:hAnsi="Verdana"/>
                <w:sz w:val="22"/>
                <w:szCs w:val="22"/>
              </w:rPr>
            </w:pPr>
            <w:r>
              <w:rPr>
                <w:rStyle w:val="normaltextrun"/>
                <w:rFonts w:ascii="Verdana" w:hAnsi="Verdana"/>
                <w:sz w:val="22"/>
                <w:szCs w:val="22"/>
                <w:lang w:val="en-US"/>
              </w:rPr>
              <w:t>Identify key marketing operational issues faced by new ventures and small businesses in specified sectors and industries in a global context.</w:t>
            </w:r>
            <w:r>
              <w:rPr>
                <w:rStyle w:val="eop"/>
                <w:rFonts w:ascii="Verdana" w:hAnsi="Verdana"/>
                <w:sz w:val="22"/>
                <w:szCs w:val="22"/>
              </w:rPr>
              <w:t> </w:t>
            </w:r>
          </w:p>
        </w:tc>
      </w:tr>
      <w:tr w:rsidR="00751C16">
        <w:trPr>
          <w:trHeight w:val="525"/>
        </w:trPr>
        <w:tc>
          <w:tcPr>
            <w:tcW w:w="9045" w:type="dxa"/>
            <w:tcBorders>
              <w:top w:val="outset" w:sz="6" w:space="0" w:color="000000"/>
              <w:left w:val="single" w:sz="6" w:space="0" w:color="000000"/>
              <w:bottom w:val="single" w:sz="6" w:space="0" w:color="000000"/>
              <w:right w:val="single" w:sz="6" w:space="0" w:color="000000"/>
            </w:tcBorders>
            <w:shd w:val="clear" w:color="auto" w:fill="auto"/>
            <w:vAlign w:val="center"/>
          </w:tcPr>
          <w:p w:rsidR="00751C16" w:rsidRDefault="0090585D">
            <w:pPr>
              <w:pStyle w:val="paragraph"/>
              <w:spacing w:beforeAutospacing="0"/>
              <w:textAlignment w:val="baseline"/>
              <w:rPr>
                <w:rFonts w:ascii="Verdana" w:hAnsi="Verdana"/>
                <w:sz w:val="22"/>
                <w:szCs w:val="22"/>
              </w:rPr>
            </w:pPr>
            <w:r>
              <w:rPr>
                <w:rFonts w:ascii="Verdana" w:hAnsi="Verdana"/>
                <w:sz w:val="22"/>
                <w:szCs w:val="22"/>
              </w:rPr>
              <w:t xml:space="preserve">    d.</w:t>
            </w:r>
            <w:r>
              <w:rPr>
                <w:rFonts w:ascii="Verdana" w:hAnsi="Verdana"/>
                <w:sz w:val="22"/>
                <w:szCs w:val="22"/>
              </w:rPr>
              <w:tab/>
              <w:t xml:space="preserve">Select and justify appropriate marketing tools </w:t>
            </w:r>
            <w:r>
              <w:rPr>
                <w:rFonts w:ascii="Verdana" w:hAnsi="Verdana"/>
                <w:sz w:val="22"/>
                <w:szCs w:val="22"/>
              </w:rPr>
              <w:t>within an operational       framework.</w:t>
            </w:r>
          </w:p>
        </w:tc>
      </w:tr>
      <w:tr w:rsidR="00751C16">
        <w:trPr>
          <w:trHeight w:val="525"/>
        </w:trPr>
        <w:tc>
          <w:tcPr>
            <w:tcW w:w="9045" w:type="dxa"/>
            <w:tcBorders>
              <w:top w:val="outset" w:sz="6" w:space="0" w:color="000000"/>
              <w:left w:val="single" w:sz="6" w:space="0" w:color="000000"/>
              <w:bottom w:val="single" w:sz="6" w:space="0" w:color="000000"/>
              <w:right w:val="single" w:sz="6" w:space="0" w:color="000000"/>
            </w:tcBorders>
            <w:shd w:val="clear" w:color="auto" w:fill="auto"/>
            <w:vAlign w:val="center"/>
          </w:tcPr>
          <w:p w:rsidR="00751C16" w:rsidRDefault="0090585D">
            <w:pPr>
              <w:pStyle w:val="paragraph"/>
              <w:spacing w:beforeAutospacing="0"/>
              <w:textAlignment w:val="baseline"/>
              <w:rPr>
                <w:rFonts w:ascii="Verdana" w:hAnsi="Verdana"/>
                <w:sz w:val="22"/>
                <w:szCs w:val="22"/>
              </w:rPr>
            </w:pPr>
            <w:r>
              <w:rPr>
                <w:rStyle w:val="normaltextrun"/>
                <w:rFonts w:ascii="Verdana" w:hAnsi="Verdana"/>
                <w:b/>
                <w:bCs/>
                <w:sz w:val="22"/>
                <w:szCs w:val="22"/>
                <w:lang w:val="en-US"/>
              </w:rPr>
              <w:t>Employability &amp; Changemaker Skills</w:t>
            </w:r>
            <w:r>
              <w:rPr>
                <w:rStyle w:val="eop"/>
                <w:rFonts w:ascii="Verdana" w:hAnsi="Verdana"/>
                <w:sz w:val="22"/>
                <w:szCs w:val="22"/>
              </w:rPr>
              <w:t> </w:t>
            </w:r>
          </w:p>
        </w:tc>
      </w:tr>
      <w:tr w:rsidR="00751C16">
        <w:trPr>
          <w:trHeight w:val="525"/>
        </w:trPr>
        <w:tc>
          <w:tcPr>
            <w:tcW w:w="9045" w:type="dxa"/>
            <w:tcBorders>
              <w:top w:val="outset" w:sz="6" w:space="0" w:color="000000"/>
              <w:left w:val="single" w:sz="6" w:space="0" w:color="000000"/>
              <w:bottom w:val="single" w:sz="6" w:space="0" w:color="000000"/>
              <w:right w:val="single" w:sz="6" w:space="0" w:color="000000"/>
            </w:tcBorders>
            <w:shd w:val="clear" w:color="auto" w:fill="auto"/>
            <w:vAlign w:val="center"/>
          </w:tcPr>
          <w:p w:rsidR="00751C16" w:rsidRDefault="0090585D">
            <w:pPr>
              <w:pStyle w:val="paragraph"/>
              <w:numPr>
                <w:ilvl w:val="0"/>
                <w:numId w:val="3"/>
              </w:numPr>
              <w:spacing w:beforeAutospacing="0"/>
              <w:ind w:left="360" w:firstLine="0"/>
              <w:textAlignment w:val="baseline"/>
              <w:rPr>
                <w:rFonts w:ascii="Verdana" w:hAnsi="Verdana"/>
                <w:sz w:val="22"/>
                <w:szCs w:val="22"/>
              </w:rPr>
            </w:pPr>
            <w:r>
              <w:rPr>
                <w:rStyle w:val="normaltextrun"/>
                <w:rFonts w:ascii="Verdana" w:hAnsi="Verdana"/>
                <w:sz w:val="22"/>
                <w:szCs w:val="22"/>
                <w:lang w:val="en-US"/>
              </w:rPr>
              <w:t>Develop autonomous learning skills which show abilities in learning to learn; problem solving; effective communication and self-management.</w:t>
            </w:r>
            <w:r>
              <w:rPr>
                <w:rStyle w:val="eop"/>
                <w:rFonts w:ascii="Verdana" w:hAnsi="Verdana"/>
                <w:sz w:val="22"/>
                <w:szCs w:val="22"/>
              </w:rPr>
              <w:t> </w:t>
            </w:r>
          </w:p>
        </w:tc>
      </w:tr>
    </w:tbl>
    <w:p w:rsidR="00751C16" w:rsidRDefault="00751C16">
      <w:pPr>
        <w:rPr>
          <w:rFonts w:ascii="Open Sans" w:hAnsi="Open Sans" w:cs="Open Sans"/>
          <w:color w:val="C00000"/>
          <w:sz w:val="22"/>
        </w:rPr>
      </w:pPr>
    </w:p>
    <w:p w:rsidR="00751C16" w:rsidRDefault="0090585D">
      <w:pPr>
        <w:rPr>
          <w:rFonts w:ascii="Open Sans" w:hAnsi="Open Sans" w:cs="Open Sans"/>
          <w:sz w:val="22"/>
        </w:rPr>
      </w:pPr>
      <w:r>
        <w:rPr>
          <w:rFonts w:ascii="Open Sans" w:hAnsi="Open Sans" w:cs="Open Sans"/>
          <w:sz w:val="22"/>
        </w:rPr>
        <w:t>Your grade will depend on the extent</w:t>
      </w:r>
      <w:r>
        <w:rPr>
          <w:rFonts w:ascii="Open Sans" w:hAnsi="Open Sans" w:cs="Open Sans"/>
          <w:sz w:val="22"/>
        </w:rPr>
        <w:t xml:space="preserve"> to which you meet these learning outcomes in the way relevant for this assessment. </w:t>
      </w:r>
      <w:r>
        <w:rPr>
          <w:rFonts w:ascii="Open Sans" w:hAnsi="Open Sans" w:cs="Open Sans"/>
          <w:b/>
          <w:sz w:val="22"/>
        </w:rPr>
        <w:t>Please see the grading rubric on NILE for further details of the criteria against which you will be assessed.</w:t>
      </w:r>
      <w:r>
        <w:rPr>
          <w:rFonts w:ascii="Open Sans" w:hAnsi="Open Sans" w:cs="Open Sans"/>
          <w:sz w:val="22"/>
        </w:rPr>
        <w:t xml:space="preserve"> </w:t>
      </w:r>
    </w:p>
    <w:p w:rsidR="00751C16" w:rsidRDefault="0090585D">
      <w:pPr>
        <w:pStyle w:val="Heading1"/>
        <w:rPr>
          <w:rFonts w:cs="Open Sans"/>
        </w:rPr>
      </w:pPr>
      <w:r>
        <w:rPr>
          <w:rFonts w:cs="Open Sans"/>
        </w:rPr>
        <w:t>Assessment Support</w:t>
      </w:r>
    </w:p>
    <w:p w:rsidR="00751C16" w:rsidRDefault="0090585D">
      <w:r>
        <w:rPr>
          <w:rFonts w:ascii="Open Sans" w:hAnsi="Open Sans" w:cs="Open Sans"/>
          <w:sz w:val="22"/>
          <w:szCs w:val="22"/>
        </w:rPr>
        <w:t>Specific support sessions for this assessm</w:t>
      </w:r>
      <w:r>
        <w:rPr>
          <w:rFonts w:ascii="Open Sans" w:hAnsi="Open Sans" w:cs="Open Sans"/>
          <w:sz w:val="22"/>
          <w:szCs w:val="22"/>
        </w:rPr>
        <w:t xml:space="preserve">ent will be provided by the module team and notified through NILE. You can also access individual support and guidance for your assessments from Library and Learning Services.  Visit the </w:t>
      </w:r>
      <w:hyperlink r:id="rId10">
        <w:r>
          <w:rPr>
            <w:rStyle w:val="InternetLink"/>
            <w:rFonts w:ascii="Open Sans" w:hAnsi="Open Sans" w:cs="Open Sans"/>
            <w:sz w:val="22"/>
            <w:szCs w:val="22"/>
          </w:rPr>
          <w:t>Skills Hub</w:t>
        </w:r>
      </w:hyperlink>
      <w:r>
        <w:rPr>
          <w:rFonts w:ascii="Open Sans" w:hAnsi="Open Sans" w:cs="Open Sans"/>
          <w:sz w:val="22"/>
          <w:szCs w:val="22"/>
        </w:rPr>
        <w:t xml:space="preserve"> to</w:t>
      </w:r>
      <w:r>
        <w:rPr>
          <w:rFonts w:ascii="Open Sans" w:hAnsi="Open Sans" w:cs="Open Sans"/>
          <w:sz w:val="22"/>
          <w:szCs w:val="22"/>
        </w:rPr>
        <w:t xml:space="preserve"> access this support and to discover the online support also available for assessments and academic skills. </w:t>
      </w:r>
    </w:p>
    <w:p w:rsidR="00751C16" w:rsidRDefault="0090585D">
      <w:pPr>
        <w:pStyle w:val="Heading1"/>
        <w:rPr>
          <w:rFonts w:cs="Open Sans"/>
        </w:rPr>
      </w:pPr>
      <w:r>
        <w:rPr>
          <w:rFonts w:cs="Open Sans"/>
        </w:rPr>
        <w:t>Academic Integrity and Misconduct</w:t>
      </w:r>
    </w:p>
    <w:p w:rsidR="00751C16" w:rsidRDefault="0090585D">
      <w:pPr>
        <w:pStyle w:val="BodyText2"/>
        <w:rPr>
          <w:rFonts w:ascii="Open Sans" w:hAnsi="Open Sans" w:cs="Open Sans"/>
          <w:sz w:val="22"/>
          <w:szCs w:val="22"/>
        </w:rPr>
      </w:pPr>
      <w:r>
        <w:rPr>
          <w:rFonts w:ascii="Open Sans" w:hAnsi="Open Sans" w:cs="Open Sans"/>
          <w:sz w:val="22"/>
          <w:szCs w:val="22"/>
        </w:rPr>
        <w:t>Unless this is a group assessment,</w:t>
      </w:r>
      <w:r>
        <w:rPr>
          <w:rFonts w:ascii="Open Sans" w:hAnsi="Open Sans" w:cs="Open Sans"/>
          <w:b/>
          <w:sz w:val="22"/>
          <w:szCs w:val="22"/>
        </w:rPr>
        <w:t xml:space="preserve"> </w:t>
      </w:r>
      <w:r>
        <w:rPr>
          <w:rFonts w:ascii="Open Sans" w:hAnsi="Open Sans" w:cs="Open Sans"/>
          <w:sz w:val="22"/>
          <w:szCs w:val="22"/>
        </w:rPr>
        <w:t xml:space="preserve">the work you produce must be your own, with work taken from any other source </w:t>
      </w:r>
      <w:r>
        <w:rPr>
          <w:rFonts w:ascii="Open Sans" w:hAnsi="Open Sans" w:cs="Open Sans"/>
          <w:sz w:val="22"/>
          <w:szCs w:val="22"/>
        </w:rPr>
        <w:t>properly referenced and attributed. For the avoidance of doubt this means that it is an infringement of academic integrity and, therefore, academic misconduct to ask someone else to carry out all or some of the work for you, whether paid or unpaid, or to u</w:t>
      </w:r>
      <w:r>
        <w:rPr>
          <w:rFonts w:ascii="Open Sans" w:hAnsi="Open Sans" w:cs="Open Sans"/>
          <w:sz w:val="22"/>
          <w:szCs w:val="22"/>
        </w:rPr>
        <w:t>se the work of another student whether current or previously submitted.</w:t>
      </w:r>
    </w:p>
    <w:p w:rsidR="00751C16" w:rsidRDefault="00751C16">
      <w:pPr>
        <w:pStyle w:val="BodyText2"/>
        <w:rPr>
          <w:rFonts w:ascii="Open Sans" w:hAnsi="Open Sans" w:cs="Open Sans"/>
          <w:sz w:val="22"/>
          <w:szCs w:val="22"/>
        </w:rPr>
      </w:pPr>
    </w:p>
    <w:p w:rsidR="00751C16" w:rsidRDefault="0090585D">
      <w:pPr>
        <w:pStyle w:val="BodyText2"/>
      </w:pPr>
      <w:r>
        <w:rPr>
          <w:rFonts w:ascii="Open Sans" w:hAnsi="Open Sans" w:cs="Open Sans"/>
          <w:sz w:val="22"/>
          <w:szCs w:val="22"/>
        </w:rPr>
        <w:t xml:space="preserve">For further guidance on </w:t>
      </w:r>
      <w:r>
        <w:rPr>
          <w:rFonts w:ascii="Open Sans" w:hAnsi="Open Sans" w:cs="Open Sans"/>
          <w:color w:val="000000"/>
          <w:sz w:val="22"/>
          <w:szCs w:val="22"/>
        </w:rPr>
        <w:t>what constitutes plagiarism</w:t>
      </w:r>
      <w:r>
        <w:rPr>
          <w:rFonts w:ascii="Open Sans" w:hAnsi="Open Sans" w:cs="Open Sans"/>
          <w:sz w:val="22"/>
          <w:szCs w:val="22"/>
        </w:rPr>
        <w:t xml:space="preserve">, contract cheating or collusion, or any other infringement of academic integrity, please read the University’s </w:t>
      </w:r>
      <w:hyperlink r:id="rId11">
        <w:r>
          <w:rPr>
            <w:rStyle w:val="InternetLink"/>
            <w:rFonts w:ascii="Open Sans" w:hAnsi="Open Sans" w:cs="Open Sans"/>
            <w:sz w:val="22"/>
            <w:szCs w:val="22"/>
          </w:rPr>
          <w:t>Academic Integrity and Misconduct Policy.</w:t>
        </w:r>
      </w:hyperlink>
      <w:r>
        <w:rPr>
          <w:rFonts w:ascii="Open Sans" w:hAnsi="Open Sans" w:cs="Open Sans"/>
          <w:sz w:val="22"/>
          <w:szCs w:val="22"/>
        </w:rPr>
        <w:t xml:space="preserve">  Also useful resources to help with understanding academic integrity are available from </w:t>
      </w:r>
      <w:hyperlink r:id="rId12">
        <w:r>
          <w:rPr>
            <w:rStyle w:val="InternetLink"/>
            <w:rFonts w:ascii="Open Sans" w:hAnsi="Open Sans" w:cs="Open Sans"/>
            <w:color w:val="auto"/>
            <w:sz w:val="22"/>
            <w:szCs w:val="22"/>
          </w:rPr>
          <w:t>UNPAC</w:t>
        </w:r>
      </w:hyperlink>
      <w:r>
        <w:rPr>
          <w:rFonts w:ascii="Open Sans" w:hAnsi="Open Sans" w:cs="Open Sans"/>
          <w:sz w:val="22"/>
          <w:szCs w:val="22"/>
        </w:rPr>
        <w:t xml:space="preserve">  - the University of Northampton’s Plagiarism Avoidance Course. </w:t>
      </w:r>
    </w:p>
    <w:p w:rsidR="00751C16" w:rsidRDefault="00751C16">
      <w:pPr>
        <w:pStyle w:val="BodyText2"/>
        <w:rPr>
          <w:rFonts w:ascii="Open Sans" w:hAnsi="Open Sans" w:cs="Open Sans"/>
          <w:color w:val="000000"/>
          <w:sz w:val="22"/>
          <w:szCs w:val="22"/>
        </w:rPr>
      </w:pPr>
    </w:p>
    <w:p w:rsidR="00751C16" w:rsidRDefault="0090585D">
      <w:pPr>
        <w:pStyle w:val="BodyText2"/>
        <w:rPr>
          <w:rFonts w:ascii="Open Sans" w:hAnsi="Open Sans" w:cs="Open Sans"/>
          <w:b/>
          <w:sz w:val="22"/>
          <w:szCs w:val="22"/>
        </w:rPr>
      </w:pPr>
      <w:r>
        <w:rPr>
          <w:rFonts w:ascii="Open Sans" w:hAnsi="Open Sans" w:cs="Open Sans"/>
          <w:b/>
          <w:sz w:val="22"/>
          <w:szCs w:val="22"/>
        </w:rPr>
        <w:t>N.B. The penalties for academic misconduct are severe and include failing the assessment, failing the module and even expulsion from t</w:t>
      </w:r>
      <w:r>
        <w:rPr>
          <w:rFonts w:ascii="Open Sans" w:hAnsi="Open Sans" w:cs="Open Sans"/>
          <w:b/>
          <w:sz w:val="22"/>
          <w:szCs w:val="22"/>
        </w:rPr>
        <w:t>he university.</w:t>
      </w:r>
    </w:p>
    <w:p w:rsidR="00751C16" w:rsidRDefault="0090585D">
      <w:pPr>
        <w:pStyle w:val="Heading1"/>
        <w:rPr>
          <w:rFonts w:cs="Open Sans"/>
        </w:rPr>
      </w:pPr>
      <w:r>
        <w:rPr>
          <w:rFonts w:cs="Open Sans"/>
        </w:rPr>
        <w:t>Assessment Submission</w:t>
      </w:r>
    </w:p>
    <w:p w:rsidR="00751C16" w:rsidRDefault="0090585D">
      <w:pPr>
        <w:rPr>
          <w:rFonts w:ascii="Open Sans" w:hAnsi="Open Sans" w:cs="Open Sans"/>
          <w:color w:val="000000"/>
          <w:sz w:val="22"/>
        </w:rPr>
      </w:pPr>
      <w:r>
        <w:rPr>
          <w:rFonts w:ascii="Open Sans" w:hAnsi="Open Sans" w:cs="Open Sans"/>
          <w:color w:val="000000"/>
          <w:sz w:val="22"/>
        </w:rPr>
        <w:t>To submit your work, please go to the ‘Submit your work’ area on the NILE site and use the relevant submission point to upload your report. The deadline for this is 11.59pm (UK local time) on the date of submission. Ple</w:t>
      </w:r>
      <w:r>
        <w:rPr>
          <w:rFonts w:ascii="Open Sans" w:hAnsi="Open Sans" w:cs="Open Sans"/>
          <w:color w:val="000000"/>
          <w:sz w:val="22"/>
        </w:rPr>
        <w:t xml:space="preserve">ase note that essays and text-based reports should be submitted as word documents and not PDFs or Mac files. </w:t>
      </w:r>
    </w:p>
    <w:p w:rsidR="00751C16" w:rsidRDefault="00751C16">
      <w:pPr>
        <w:rPr>
          <w:rFonts w:ascii="Open Sans" w:hAnsi="Open Sans" w:cs="Open Sans"/>
          <w:color w:val="000000"/>
          <w:sz w:val="22"/>
        </w:rPr>
      </w:pPr>
    </w:p>
    <w:p w:rsidR="00751C16" w:rsidRDefault="0090585D">
      <w:pPr>
        <w:tabs>
          <w:tab w:val="left" w:pos="1418"/>
        </w:tabs>
        <w:rPr>
          <w:rFonts w:ascii="Open Sans" w:hAnsi="Open Sans" w:cs="Open Sans"/>
          <w:sz w:val="22"/>
          <w:szCs w:val="22"/>
        </w:rPr>
      </w:pPr>
      <w:r>
        <w:rPr>
          <w:rFonts w:ascii="Open Sans" w:hAnsi="Open Sans" w:cs="Open Sans"/>
          <w:sz w:val="22"/>
          <w:szCs w:val="22"/>
        </w:rPr>
        <w:lastRenderedPageBreak/>
        <w:t>Written work submitted to TURNITIN will be subject to anti-plagiarism detection software.  Turnitin checks student work for possible textual matc</w:t>
      </w:r>
      <w:r>
        <w:rPr>
          <w:rFonts w:ascii="Open Sans" w:hAnsi="Open Sans" w:cs="Open Sans"/>
          <w:sz w:val="22"/>
          <w:szCs w:val="22"/>
        </w:rPr>
        <w:t xml:space="preserve">hes against internet available resources and its own proprietary database. </w:t>
      </w:r>
    </w:p>
    <w:p w:rsidR="00751C16" w:rsidRDefault="0090585D">
      <w:pPr>
        <w:tabs>
          <w:tab w:val="left" w:pos="1418"/>
        </w:tabs>
        <w:rPr>
          <w:rFonts w:ascii="Open Sans" w:hAnsi="Open Sans" w:cs="Open Sans"/>
          <w:sz w:val="22"/>
          <w:szCs w:val="22"/>
        </w:rPr>
      </w:pPr>
      <w:r>
        <w:rPr>
          <w:rFonts w:ascii="Open Sans" w:hAnsi="Open Sans" w:cs="Open Sans"/>
          <w:sz w:val="22"/>
          <w:szCs w:val="22"/>
        </w:rPr>
        <w:t xml:space="preserve"> </w:t>
      </w:r>
    </w:p>
    <w:p w:rsidR="00751C16" w:rsidRDefault="0090585D">
      <w:pPr>
        <w:tabs>
          <w:tab w:val="left" w:pos="1418"/>
        </w:tabs>
        <w:rPr>
          <w:rFonts w:ascii="Open Sans" w:hAnsi="Open Sans" w:cs="Open Sans"/>
          <w:sz w:val="22"/>
          <w:szCs w:val="22"/>
        </w:rPr>
      </w:pPr>
      <w:r>
        <w:rPr>
          <w:rFonts w:ascii="Open Sans" w:hAnsi="Open Sans" w:cs="Open Sans"/>
          <w:sz w:val="22"/>
          <w:szCs w:val="22"/>
        </w:rPr>
        <w:t xml:space="preserve">When you upload your work correctly to TURNITIN you will receive a receipt which is your record and proof of submission.  If your assessment is not submitted to TURNITIN, rather </w:t>
      </w:r>
      <w:r>
        <w:rPr>
          <w:rFonts w:ascii="Open Sans" w:hAnsi="Open Sans" w:cs="Open Sans"/>
          <w:sz w:val="22"/>
          <w:szCs w:val="22"/>
        </w:rPr>
        <w:t xml:space="preserve">than a receipt, you will see a green banner at the top of the screen that denotes successful submission. </w:t>
      </w:r>
    </w:p>
    <w:p w:rsidR="00751C16" w:rsidRDefault="00751C16">
      <w:pPr>
        <w:tabs>
          <w:tab w:val="left" w:pos="1418"/>
        </w:tabs>
        <w:rPr>
          <w:rFonts w:ascii="Open Sans" w:hAnsi="Open Sans" w:cs="Open Sans"/>
          <w:sz w:val="22"/>
          <w:szCs w:val="22"/>
        </w:rPr>
      </w:pPr>
    </w:p>
    <w:p w:rsidR="00751C16" w:rsidRDefault="0090585D">
      <w:pPr>
        <w:tabs>
          <w:tab w:val="left" w:pos="1418"/>
        </w:tabs>
        <w:rPr>
          <w:rFonts w:ascii="Open Sans" w:hAnsi="Open Sans" w:cs="Open Sans"/>
          <w:b/>
          <w:sz w:val="22"/>
          <w:szCs w:val="22"/>
        </w:rPr>
      </w:pPr>
      <w:r>
        <w:rPr>
          <w:rFonts w:ascii="Open Sans" w:hAnsi="Open Sans" w:cs="Open Sans"/>
          <w:b/>
          <w:sz w:val="22"/>
          <w:szCs w:val="22"/>
        </w:rPr>
        <w:t xml:space="preserve">N.B Work emailed directly to your tutor will not be marked. </w:t>
      </w:r>
    </w:p>
    <w:p w:rsidR="00751C16" w:rsidRDefault="0090585D">
      <w:pPr>
        <w:pStyle w:val="Heading1"/>
        <w:rPr>
          <w:rFonts w:cs="Open Sans"/>
          <w:i/>
        </w:rPr>
      </w:pPr>
      <w:bookmarkStart w:id="1" w:name="_Toc493673900"/>
      <w:r>
        <w:rPr>
          <w:rFonts w:cs="Open Sans"/>
        </w:rPr>
        <w:t>Late submission of work</w:t>
      </w:r>
      <w:bookmarkEnd w:id="1"/>
    </w:p>
    <w:p w:rsidR="00751C16" w:rsidRDefault="0090585D">
      <w:pPr>
        <w:tabs>
          <w:tab w:val="left" w:pos="1418"/>
        </w:tabs>
        <w:rPr>
          <w:rFonts w:ascii="Open Sans" w:hAnsi="Open Sans" w:cs="Open Sans"/>
          <w:sz w:val="22"/>
          <w:szCs w:val="22"/>
        </w:rPr>
      </w:pPr>
      <w:r>
        <w:rPr>
          <w:rFonts w:ascii="Open Sans" w:hAnsi="Open Sans" w:cs="Open Sans"/>
          <w:sz w:val="22"/>
          <w:szCs w:val="22"/>
        </w:rPr>
        <w:t xml:space="preserve">For </w:t>
      </w:r>
      <w:r>
        <w:rPr>
          <w:rFonts w:ascii="Open Sans" w:hAnsi="Open Sans" w:cs="Open Sans"/>
          <w:b/>
          <w:sz w:val="22"/>
          <w:szCs w:val="22"/>
        </w:rPr>
        <w:t>first sits</w:t>
      </w:r>
      <w:r>
        <w:rPr>
          <w:rFonts w:ascii="Open Sans" w:hAnsi="Open Sans" w:cs="Open Sans"/>
          <w:sz w:val="22"/>
          <w:szCs w:val="22"/>
        </w:rPr>
        <w:t xml:space="preserve">, if an item of assessment is submitted late and </w:t>
      </w:r>
      <w:r>
        <w:rPr>
          <w:rFonts w:ascii="Open Sans" w:hAnsi="Open Sans" w:cs="Open Sans"/>
          <w:sz w:val="22"/>
          <w:szCs w:val="22"/>
        </w:rPr>
        <w:t>an extension has not been granted, the following will apply:</w:t>
      </w:r>
    </w:p>
    <w:p w:rsidR="00751C16" w:rsidRDefault="00751C16">
      <w:pPr>
        <w:tabs>
          <w:tab w:val="left" w:pos="1418"/>
        </w:tabs>
        <w:rPr>
          <w:rFonts w:ascii="Open Sans" w:hAnsi="Open Sans" w:cs="Open Sans"/>
          <w:sz w:val="22"/>
          <w:szCs w:val="22"/>
        </w:rPr>
      </w:pPr>
    </w:p>
    <w:p w:rsidR="00751C16" w:rsidRDefault="0090585D">
      <w:pPr>
        <w:numPr>
          <w:ilvl w:val="0"/>
          <w:numId w:val="1"/>
        </w:numPr>
        <w:tabs>
          <w:tab w:val="left" w:pos="567"/>
        </w:tabs>
        <w:ind w:left="567" w:hanging="567"/>
        <w:rPr>
          <w:rFonts w:ascii="Open Sans" w:hAnsi="Open Sans" w:cs="Open Sans"/>
          <w:sz w:val="22"/>
          <w:szCs w:val="22"/>
        </w:rPr>
      </w:pPr>
      <w:r>
        <w:rPr>
          <w:rFonts w:ascii="Open Sans" w:hAnsi="Open Sans" w:cs="Open Sans"/>
          <w:sz w:val="22"/>
          <w:szCs w:val="22"/>
        </w:rPr>
        <w:t>Within one week of the original deadline – work will be marked and returned with full feedback, and awarded a maximum bare pass grade.</w:t>
      </w:r>
    </w:p>
    <w:p w:rsidR="00751C16" w:rsidRDefault="0090585D">
      <w:pPr>
        <w:numPr>
          <w:ilvl w:val="0"/>
          <w:numId w:val="1"/>
        </w:numPr>
        <w:tabs>
          <w:tab w:val="left" w:pos="567"/>
        </w:tabs>
        <w:ind w:left="567" w:hanging="567"/>
        <w:rPr>
          <w:rFonts w:ascii="Open Sans" w:hAnsi="Open Sans" w:cs="Open Sans"/>
          <w:sz w:val="22"/>
          <w:szCs w:val="22"/>
        </w:rPr>
      </w:pPr>
      <w:r>
        <w:rPr>
          <w:rFonts w:ascii="Open Sans" w:hAnsi="Open Sans" w:cs="Open Sans"/>
          <w:sz w:val="22"/>
          <w:szCs w:val="22"/>
        </w:rPr>
        <w:t>More than one week from original deadline – grade achievabl</w:t>
      </w:r>
      <w:r>
        <w:rPr>
          <w:rFonts w:ascii="Open Sans" w:hAnsi="Open Sans" w:cs="Open Sans"/>
          <w:sz w:val="22"/>
          <w:szCs w:val="22"/>
        </w:rPr>
        <w:t>e LG (L indicating late).</w:t>
      </w:r>
    </w:p>
    <w:p w:rsidR="00751C16" w:rsidRDefault="00751C16">
      <w:pPr>
        <w:tabs>
          <w:tab w:val="left" w:pos="567"/>
        </w:tabs>
        <w:rPr>
          <w:rFonts w:ascii="Open Sans" w:hAnsi="Open Sans" w:cs="Open Sans"/>
          <w:sz w:val="22"/>
          <w:szCs w:val="22"/>
        </w:rPr>
      </w:pPr>
    </w:p>
    <w:p w:rsidR="00751C16" w:rsidRDefault="0090585D">
      <w:pPr>
        <w:tabs>
          <w:tab w:val="left" w:pos="567"/>
        </w:tabs>
        <w:rPr>
          <w:rFonts w:ascii="Open Sans" w:hAnsi="Open Sans" w:cs="Open Sans"/>
          <w:sz w:val="22"/>
          <w:szCs w:val="22"/>
        </w:rPr>
      </w:pPr>
      <w:r>
        <w:rPr>
          <w:rFonts w:ascii="Open Sans" w:hAnsi="Open Sans" w:cs="Open Sans"/>
          <w:sz w:val="22"/>
          <w:szCs w:val="22"/>
        </w:rPr>
        <w:t xml:space="preserve">For </w:t>
      </w:r>
      <w:r>
        <w:rPr>
          <w:rFonts w:ascii="Open Sans" w:hAnsi="Open Sans" w:cs="Open Sans"/>
          <w:b/>
          <w:sz w:val="22"/>
          <w:szCs w:val="22"/>
        </w:rPr>
        <w:t>resits</w:t>
      </w:r>
      <w:r>
        <w:rPr>
          <w:rFonts w:ascii="Open Sans" w:hAnsi="Open Sans" w:cs="Open Sans"/>
          <w:sz w:val="22"/>
          <w:szCs w:val="22"/>
        </w:rPr>
        <w:t xml:space="preserve"> there are no allowances for work submitted late and it will be treated as a non-submission. </w:t>
      </w:r>
    </w:p>
    <w:p w:rsidR="00751C16" w:rsidRDefault="00751C16">
      <w:pPr>
        <w:rPr>
          <w:rFonts w:ascii="Open Sans" w:hAnsi="Open Sans" w:cs="Open Sans"/>
          <w:sz w:val="22"/>
          <w:szCs w:val="22"/>
        </w:rPr>
      </w:pPr>
    </w:p>
    <w:p w:rsidR="00751C16" w:rsidRDefault="0090585D">
      <w:r>
        <w:rPr>
          <w:rFonts w:ascii="Open Sans" w:hAnsi="Open Sans" w:cs="Open Sans"/>
          <w:color w:val="000000"/>
          <w:sz w:val="22"/>
        </w:rPr>
        <w:t xml:space="preserve">Please see the </w:t>
      </w:r>
      <w:hyperlink r:id="rId13">
        <w:r>
          <w:rPr>
            <w:rStyle w:val="InternetLink"/>
            <w:rFonts w:ascii="Open Sans" w:hAnsi="Open Sans" w:cs="Open Sans"/>
            <w:sz w:val="22"/>
            <w:szCs w:val="22"/>
          </w:rPr>
          <w:t>Assessmen</w:t>
        </w:r>
        <w:r>
          <w:rPr>
            <w:rStyle w:val="InternetLink"/>
            <w:rFonts w:ascii="Open Sans" w:hAnsi="Open Sans" w:cs="Open Sans"/>
            <w:sz w:val="22"/>
            <w:szCs w:val="22"/>
          </w:rPr>
          <w:t>t and Feedback Policy</w:t>
        </w:r>
      </w:hyperlink>
      <w:r>
        <w:rPr>
          <w:rFonts w:ascii="Open Sans" w:hAnsi="Open Sans" w:cs="Open Sans"/>
          <w:color w:val="000000"/>
          <w:sz w:val="22"/>
          <w:szCs w:val="22"/>
        </w:rPr>
        <w:t xml:space="preserve"> for full information on the processes related to assessment, grading and feedback, including anonymous grading.  </w:t>
      </w:r>
      <w:r>
        <w:rPr>
          <w:rFonts w:ascii="Open Sans" w:hAnsi="Open Sans" w:cs="Open Sans"/>
          <w:color w:val="000000"/>
          <w:sz w:val="22"/>
        </w:rPr>
        <w:t xml:space="preserve">You will also find the generic grading criteria for achievement at  </w:t>
      </w:r>
      <w:hyperlink r:id="rId14">
        <w:r>
          <w:rPr>
            <w:rStyle w:val="InternetLink"/>
            <w:rFonts w:ascii="Open Sans" w:hAnsi="Open Sans" w:cs="Open Sans"/>
            <w:sz w:val="22"/>
          </w:rPr>
          <w:t>University Grading Criteria</w:t>
        </w:r>
      </w:hyperlink>
      <w:r>
        <w:rPr>
          <w:rFonts w:ascii="Open Sans" w:hAnsi="Open Sans" w:cs="Open Sans"/>
          <w:color w:val="000000"/>
          <w:sz w:val="22"/>
        </w:rPr>
        <w:t>.  Also explained there are the meanings of the various G grades at the bottom of the grading scale including LG mentioned above.</w:t>
      </w:r>
    </w:p>
    <w:p w:rsidR="00751C16" w:rsidRDefault="00751C16">
      <w:pPr>
        <w:tabs>
          <w:tab w:val="left" w:pos="567"/>
        </w:tabs>
        <w:spacing w:line="276" w:lineRule="auto"/>
        <w:rPr>
          <w:rFonts w:ascii="Open Sans" w:hAnsi="Open Sans" w:cs="Open Sans"/>
          <w:sz w:val="22"/>
          <w:szCs w:val="22"/>
        </w:rPr>
      </w:pPr>
    </w:p>
    <w:p w:rsidR="00751C16" w:rsidRDefault="0090585D">
      <w:pPr>
        <w:pStyle w:val="Heading1"/>
        <w:rPr>
          <w:rFonts w:cs="Open Sans"/>
          <w:i/>
        </w:rPr>
      </w:pPr>
      <w:bookmarkStart w:id="2" w:name="_Toc493673901"/>
      <w:r>
        <w:rPr>
          <w:rFonts w:cs="Open Sans"/>
        </w:rPr>
        <w:t>Extensions</w:t>
      </w:r>
      <w:bookmarkEnd w:id="2"/>
    </w:p>
    <w:p w:rsidR="00751C16" w:rsidRDefault="0090585D">
      <w:pPr>
        <w:tabs>
          <w:tab w:val="left" w:pos="567"/>
        </w:tabs>
        <w:rPr>
          <w:rFonts w:ascii="Open Sans" w:hAnsi="Open Sans" w:cs="Open Sans"/>
          <w:sz w:val="22"/>
          <w:szCs w:val="22"/>
        </w:rPr>
      </w:pPr>
      <w:r>
        <w:rPr>
          <w:rFonts w:ascii="Open Sans" w:hAnsi="Open Sans" w:cs="Open Sans"/>
          <w:sz w:val="22"/>
          <w:szCs w:val="22"/>
        </w:rPr>
        <w:t>The University of Northampton’s general policy with regard to extensions is to be supportive of students who have genuine difficulties, but not against pressures of work that could have reasonably been anticipated.</w:t>
      </w:r>
    </w:p>
    <w:p w:rsidR="00751C16" w:rsidRDefault="0090585D">
      <w:pPr>
        <w:tabs>
          <w:tab w:val="left" w:pos="567"/>
        </w:tabs>
        <w:rPr>
          <w:rFonts w:ascii="Open Sans" w:hAnsi="Open Sans" w:cs="Open Sans"/>
          <w:sz w:val="22"/>
          <w:szCs w:val="22"/>
        </w:rPr>
      </w:pPr>
      <w:r>
        <w:rPr>
          <w:rFonts w:ascii="Open Sans" w:hAnsi="Open Sans" w:cs="Open Sans"/>
          <w:sz w:val="22"/>
          <w:szCs w:val="22"/>
        </w:rPr>
        <w:t xml:space="preserve"> </w:t>
      </w:r>
    </w:p>
    <w:p w:rsidR="00751C16" w:rsidRDefault="0090585D">
      <w:pPr>
        <w:tabs>
          <w:tab w:val="left" w:pos="1418"/>
        </w:tabs>
      </w:pPr>
      <w:r>
        <w:rPr>
          <w:rFonts w:ascii="Open Sans" w:hAnsi="Open Sans" w:cs="Open Sans"/>
          <w:sz w:val="22"/>
          <w:szCs w:val="22"/>
        </w:rPr>
        <w:t xml:space="preserve">For full details please refer to the </w:t>
      </w:r>
      <w:hyperlink r:id="rId15">
        <w:r>
          <w:rPr>
            <w:rStyle w:val="InternetLink"/>
            <w:rFonts w:ascii="Open Sans" w:hAnsi="Open Sans" w:cs="Open Sans"/>
            <w:sz w:val="22"/>
            <w:szCs w:val="22"/>
          </w:rPr>
          <w:t>Extensions Policy</w:t>
        </w:r>
      </w:hyperlink>
      <w:r>
        <w:rPr>
          <w:rFonts w:ascii="Open Sans" w:hAnsi="Open Sans" w:cs="Open Sans"/>
          <w:sz w:val="22"/>
          <w:szCs w:val="22"/>
        </w:rPr>
        <w:t>.  Extensions are only available for first sits – they are not available for resits.</w:t>
      </w:r>
    </w:p>
    <w:p w:rsidR="00751C16" w:rsidRDefault="00751C16">
      <w:pPr>
        <w:tabs>
          <w:tab w:val="left" w:pos="1418"/>
        </w:tabs>
        <w:rPr>
          <w:rFonts w:ascii="Open Sans" w:hAnsi="Open Sans" w:cs="Open Sans"/>
          <w:sz w:val="22"/>
          <w:szCs w:val="22"/>
        </w:rPr>
      </w:pPr>
    </w:p>
    <w:p w:rsidR="00751C16" w:rsidRDefault="0090585D">
      <w:pPr>
        <w:pStyle w:val="Heading1"/>
        <w:rPr>
          <w:rFonts w:cs="Open Sans"/>
        </w:rPr>
      </w:pPr>
      <w:r>
        <w:rPr>
          <w:rFonts w:cs="Open Sans"/>
        </w:rPr>
        <w:t>Mitigating Circumstances</w:t>
      </w:r>
    </w:p>
    <w:p w:rsidR="00751C16" w:rsidRDefault="0090585D">
      <w:pPr>
        <w:tabs>
          <w:tab w:val="left" w:pos="1418"/>
        </w:tabs>
      </w:pPr>
      <w:r>
        <w:rPr>
          <w:rFonts w:ascii="Open Sans" w:hAnsi="Open Sans" w:cs="Open Sans"/>
          <w:sz w:val="22"/>
          <w:szCs w:val="22"/>
        </w:rPr>
        <w:t>For guidance on Mitigating ci</w:t>
      </w:r>
      <w:r>
        <w:rPr>
          <w:rFonts w:ascii="Open Sans" w:hAnsi="Open Sans" w:cs="Open Sans"/>
          <w:sz w:val="22"/>
          <w:szCs w:val="22"/>
        </w:rPr>
        <w:t xml:space="preserve">rcumstances please go to </w:t>
      </w:r>
      <w:hyperlink r:id="rId16">
        <w:r>
          <w:rPr>
            <w:rStyle w:val="InternetLink"/>
            <w:rFonts w:ascii="Open Sans" w:hAnsi="Open Sans" w:cs="Open Sans"/>
            <w:sz w:val="22"/>
            <w:szCs w:val="22"/>
          </w:rPr>
          <w:t>Mitigating Circumstances</w:t>
        </w:r>
      </w:hyperlink>
      <w:r>
        <w:rPr>
          <w:rFonts w:ascii="Open Sans" w:hAnsi="Open Sans" w:cs="Open Sans"/>
          <w:sz w:val="22"/>
          <w:szCs w:val="22"/>
        </w:rPr>
        <w:t xml:space="preserve"> where you will find detailed guidance on the policy as well as guidance and the form for making an applica</w:t>
      </w:r>
      <w:r>
        <w:rPr>
          <w:rFonts w:ascii="Open Sans" w:hAnsi="Open Sans" w:cs="Open Sans"/>
          <w:sz w:val="22"/>
          <w:szCs w:val="22"/>
        </w:rPr>
        <w:t>tion.</w:t>
      </w:r>
    </w:p>
    <w:p w:rsidR="00751C16" w:rsidRDefault="00751C16">
      <w:pPr>
        <w:tabs>
          <w:tab w:val="left" w:pos="1418"/>
        </w:tabs>
        <w:rPr>
          <w:rFonts w:ascii="Open Sans" w:hAnsi="Open Sans" w:cs="Open Sans"/>
          <w:sz w:val="22"/>
          <w:szCs w:val="22"/>
        </w:rPr>
      </w:pPr>
    </w:p>
    <w:p w:rsidR="00751C16" w:rsidRDefault="0090585D">
      <w:pPr>
        <w:tabs>
          <w:tab w:val="left" w:pos="1418"/>
        </w:tabs>
        <w:rPr>
          <w:rFonts w:ascii="Open Sans" w:hAnsi="Open Sans" w:cs="Open Sans"/>
          <w:sz w:val="22"/>
          <w:szCs w:val="22"/>
        </w:rPr>
      </w:pPr>
      <w:r>
        <w:rPr>
          <w:rFonts w:ascii="Open Sans" w:hAnsi="Open Sans" w:cs="Open Sans"/>
          <w:sz w:val="22"/>
          <w:szCs w:val="22"/>
        </w:rPr>
        <w:t>Please note, however, that an application to defer an assessment on the grounds of mitigating circumstances should normally be made in advance of the submission deadline or examination date.</w:t>
      </w:r>
    </w:p>
    <w:p w:rsidR="00751C16" w:rsidRDefault="0090585D">
      <w:pPr>
        <w:tabs>
          <w:tab w:val="left" w:pos="1418"/>
        </w:tabs>
        <w:rPr>
          <w:rFonts w:ascii="Open Sans" w:hAnsi="Open Sans" w:cs="Open Sans"/>
          <w:sz w:val="22"/>
          <w:szCs w:val="22"/>
        </w:rPr>
      </w:pPr>
      <w:r>
        <w:rPr>
          <w:rFonts w:ascii="Open Sans" w:hAnsi="Open Sans" w:cs="Open Sans"/>
          <w:sz w:val="22"/>
          <w:szCs w:val="22"/>
        </w:rPr>
        <w:t xml:space="preserve"> </w:t>
      </w:r>
    </w:p>
    <w:p w:rsidR="00751C16" w:rsidRDefault="0090585D">
      <w:pPr>
        <w:pStyle w:val="Heading1"/>
        <w:rPr>
          <w:rFonts w:cs="Open Sans"/>
        </w:rPr>
      </w:pPr>
      <w:r>
        <w:rPr>
          <w:rFonts w:cs="Open Sans"/>
        </w:rPr>
        <w:lastRenderedPageBreak/>
        <w:t>Feedback and Grades</w:t>
      </w:r>
    </w:p>
    <w:p w:rsidR="00751C16" w:rsidRDefault="0090585D">
      <w:pPr>
        <w:tabs>
          <w:tab w:val="left" w:pos="1418"/>
        </w:tabs>
        <w:rPr>
          <w:rFonts w:ascii="Open Sans" w:hAnsi="Open Sans" w:cs="Open Sans"/>
          <w:sz w:val="22"/>
          <w:szCs w:val="22"/>
        </w:rPr>
      </w:pPr>
      <w:r>
        <w:rPr>
          <w:rFonts w:ascii="Open Sans" w:hAnsi="Open Sans" w:cs="Open Sans"/>
          <w:sz w:val="22"/>
          <w:szCs w:val="22"/>
        </w:rPr>
        <w:t xml:space="preserve">These can be accessed through clicking on the Feedback and Grades tab on NILE. Feedback will be provided by a rubric with summary comments. </w:t>
      </w:r>
    </w:p>
    <w:p w:rsidR="00751C16" w:rsidRDefault="00751C16">
      <w:pPr>
        <w:tabs>
          <w:tab w:val="left" w:pos="1418"/>
        </w:tabs>
        <w:rPr>
          <w:rFonts w:ascii="Open Sans" w:hAnsi="Open Sans" w:cs="Open Sans"/>
          <w:sz w:val="22"/>
          <w:szCs w:val="22"/>
        </w:rPr>
      </w:pPr>
    </w:p>
    <w:p w:rsidR="00751C16" w:rsidRDefault="00751C16">
      <w:pPr>
        <w:tabs>
          <w:tab w:val="left" w:pos="1418"/>
        </w:tabs>
        <w:rPr>
          <w:rFonts w:ascii="Open Sans" w:hAnsi="Open Sans" w:cs="Open Sans"/>
          <w:b/>
          <w:color w:val="000000"/>
          <w:sz w:val="22"/>
        </w:rPr>
      </w:pPr>
    </w:p>
    <w:p w:rsidR="00751C16" w:rsidRDefault="00751C16">
      <w:pPr>
        <w:pStyle w:val="Heading1"/>
      </w:pPr>
    </w:p>
    <w:sectPr w:rsidR="00751C16">
      <w:footerReference w:type="default" r:id="rId17"/>
      <w:pgSz w:w="11906" w:h="16838"/>
      <w:pgMar w:top="1134" w:right="1134" w:bottom="907" w:left="1134" w:header="0" w:footer="720" w:gutter="0"/>
      <w:cols w:space="720"/>
      <w:formProt w:val="0"/>
      <w:docGrid w:linePitch="326"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85D" w:rsidRDefault="0090585D">
      <w:r>
        <w:separator/>
      </w:r>
    </w:p>
  </w:endnote>
  <w:endnote w:type="continuationSeparator" w:id="0">
    <w:p w:rsidR="0090585D" w:rsidRDefault="0090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C16" w:rsidRDefault="0090585D">
    <w:pPr>
      <w:pStyle w:val="Footer"/>
    </w:pPr>
    <w:r>
      <w:fldChar w:fldCharType="begin"/>
    </w:r>
    <w:r>
      <w:instrText>PAGE</w:instrText>
    </w:r>
    <w:r>
      <w:fldChar w:fldCharType="separate"/>
    </w:r>
    <w:r w:rsidR="000C6A78">
      <w:rPr>
        <w:noProof/>
      </w:rPr>
      <w:t>2</w:t>
    </w:r>
    <w:r>
      <w:fldChar w:fldCharType="end"/>
    </w:r>
  </w:p>
  <w:p w:rsidR="00751C16" w:rsidRDefault="00751C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85D" w:rsidRDefault="0090585D">
      <w:r>
        <w:separator/>
      </w:r>
    </w:p>
  </w:footnote>
  <w:footnote w:type="continuationSeparator" w:id="0">
    <w:p w:rsidR="0090585D" w:rsidRDefault="009058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81A95"/>
    <w:multiLevelType w:val="multilevel"/>
    <w:tmpl w:val="FD52D7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019527D"/>
    <w:multiLevelType w:val="multilevel"/>
    <w:tmpl w:val="9FE49A3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6367253E"/>
    <w:multiLevelType w:val="multilevel"/>
    <w:tmpl w:val="CA5A5176"/>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7B11170F"/>
    <w:multiLevelType w:val="multilevel"/>
    <w:tmpl w:val="A8DA52F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C16"/>
    <w:rsid w:val="000C6A78"/>
    <w:rsid w:val="00751C16"/>
    <w:rsid w:val="0090585D"/>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731AC2-DE55-4A7F-818E-078026E4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FB6318"/>
    <w:pPr>
      <w:keepNext/>
      <w:spacing w:before="240" w:after="60"/>
      <w:outlineLvl w:val="0"/>
    </w:pPr>
    <w:rPr>
      <w:rFonts w:ascii="Open Sans" w:hAnsi="Open Sans" w:cs="Arial"/>
      <w:b/>
      <w:bCs/>
      <w:kern w:val="2"/>
      <w:sz w:val="22"/>
      <w:szCs w:val="32"/>
    </w:rPr>
  </w:style>
  <w:style w:type="paragraph" w:styleId="Heading2">
    <w:name w:val="heading 2"/>
    <w:basedOn w:val="Normal"/>
    <w:next w:val="Normal"/>
    <w:qFormat/>
    <w:rsid w:val="005A6831"/>
    <w:pPr>
      <w:keepNext/>
      <w:spacing w:before="240" w:after="60"/>
      <w:jc w:val="center"/>
      <w:outlineLvl w:val="1"/>
    </w:pPr>
    <w:rPr>
      <w:rFonts w:ascii="Open Sans" w:hAnsi="Open Sans" w:cs="Arial"/>
      <w:b/>
      <w:bCs/>
      <w:iCs/>
      <w:sz w:val="32"/>
      <w:szCs w:val="28"/>
    </w:rPr>
  </w:style>
  <w:style w:type="paragraph" w:styleId="Heading3">
    <w:name w:val="heading 3"/>
    <w:basedOn w:val="Normal"/>
    <w:next w:val="Normal"/>
    <w:link w:val="Heading3Char"/>
    <w:uiPriority w:val="9"/>
    <w:unhideWhenUsed/>
    <w:qFormat/>
    <w:rsid w:val="00274155"/>
    <w:pPr>
      <w:keepNext/>
      <w:keepLines/>
      <w:spacing w:before="200" w:line="276" w:lineRule="auto"/>
      <w:outlineLvl w:val="2"/>
    </w:pPr>
    <w:rPr>
      <w:rFonts w:ascii="Cambria" w:hAnsi="Cambria"/>
      <w:b/>
      <w:bCs/>
      <w:color w:val="4F81BD"/>
      <w:sz w:val="22"/>
      <w:szCs w:val="22"/>
      <w:lang w:eastAsia="en-US"/>
    </w:rPr>
  </w:style>
  <w:style w:type="paragraph" w:styleId="Heading7">
    <w:name w:val="heading 7"/>
    <w:basedOn w:val="Normal"/>
    <w:next w:val="Normal"/>
    <w:qFormat/>
    <w:pPr>
      <w:keepNext/>
      <w:jc w:val="both"/>
      <w:outlineLvl w:val="6"/>
    </w:pPr>
    <w:rPr>
      <w:rFonts w:ascii="Tahoma" w:hAnsi="Tahoma"/>
      <w:b/>
      <w:sz w:val="24"/>
    </w:rPr>
  </w:style>
  <w:style w:type="paragraph" w:styleId="Heading8">
    <w:name w:val="heading 8"/>
    <w:basedOn w:val="Normal"/>
    <w:next w:val="Normal"/>
    <w:qFormat/>
    <w:pPr>
      <w:keepNext/>
      <w:jc w:val="center"/>
      <w:outlineLvl w:val="7"/>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FF"/>
      <w:u w:val="single"/>
    </w:rPr>
  </w:style>
  <w:style w:type="character" w:styleId="PageNumber">
    <w:name w:val="page number"/>
    <w:basedOn w:val="DefaultParagraphFont"/>
    <w:qFormat/>
  </w:style>
  <w:style w:type="character" w:customStyle="1" w:styleId="Heading3Char">
    <w:name w:val="Heading 3 Char"/>
    <w:link w:val="Heading3"/>
    <w:uiPriority w:val="9"/>
    <w:qFormat/>
    <w:rsid w:val="00274155"/>
    <w:rPr>
      <w:rFonts w:ascii="Cambria" w:hAnsi="Cambria"/>
      <w:b/>
      <w:bCs/>
      <w:color w:val="4F81BD"/>
      <w:sz w:val="22"/>
      <w:szCs w:val="22"/>
      <w:lang w:eastAsia="en-US"/>
    </w:rPr>
  </w:style>
  <w:style w:type="character" w:styleId="IntenseEmphasis">
    <w:name w:val="Intense Emphasis"/>
    <w:uiPriority w:val="21"/>
    <w:qFormat/>
    <w:rsid w:val="00274155"/>
    <w:rPr>
      <w:b/>
      <w:bCs/>
      <w:i/>
      <w:iCs/>
      <w:color w:val="4F81BD"/>
    </w:rPr>
  </w:style>
  <w:style w:type="character" w:customStyle="1" w:styleId="FooterChar">
    <w:name w:val="Footer Char"/>
    <w:link w:val="Footer"/>
    <w:uiPriority w:val="99"/>
    <w:qFormat/>
    <w:rsid w:val="00D45330"/>
  </w:style>
  <w:style w:type="character" w:styleId="FollowedHyperlink">
    <w:name w:val="FollowedHyperlink"/>
    <w:basedOn w:val="DefaultParagraphFont"/>
    <w:qFormat/>
    <w:rsid w:val="00E72FE4"/>
    <w:rPr>
      <w:color w:val="954F72" w:themeColor="followedHyperlink"/>
      <w:u w:val="single"/>
    </w:rPr>
  </w:style>
  <w:style w:type="character" w:customStyle="1" w:styleId="normaltextrun">
    <w:name w:val="normaltextrun"/>
    <w:basedOn w:val="DefaultParagraphFont"/>
    <w:qFormat/>
    <w:rsid w:val="00CA4E02"/>
  </w:style>
  <w:style w:type="character" w:customStyle="1" w:styleId="eop">
    <w:name w:val="eop"/>
    <w:basedOn w:val="DefaultParagraphFont"/>
    <w:qFormat/>
    <w:rsid w:val="00CA4E02"/>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b w:val="0"/>
      <w:i w:val="0"/>
      <w:sz w:val="24"/>
    </w:rPr>
  </w:style>
  <w:style w:type="character" w:customStyle="1" w:styleId="ListLabel8">
    <w:name w:val="ListLabel 8"/>
    <w:qFormat/>
    <w:rPr>
      <w:b w:val="0"/>
      <w:i w:val="0"/>
      <w:sz w:val="24"/>
    </w:rPr>
  </w:style>
  <w:style w:type="character" w:customStyle="1" w:styleId="ListLabel9">
    <w:name w:val="ListLabel 9"/>
    <w:qFormat/>
    <w:rPr>
      <w:b w:val="0"/>
      <w:i w:val="0"/>
      <w:sz w:val="24"/>
    </w:rPr>
  </w:style>
  <w:style w:type="character" w:customStyle="1" w:styleId="ListLabel10">
    <w:name w:val="ListLabel 10"/>
    <w:qFormat/>
    <w:rPr>
      <w:b w:val="0"/>
      <w:i w:val="0"/>
      <w:sz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Open Sans" w:hAnsi="Open Sans" w:cs="Open Sans"/>
      <w:sz w:val="22"/>
      <w:szCs w:val="22"/>
    </w:rPr>
  </w:style>
  <w:style w:type="character" w:customStyle="1" w:styleId="ListLabel23">
    <w:name w:val="ListLabel 23"/>
    <w:qFormat/>
    <w:rPr>
      <w:rFonts w:ascii="Open Sans" w:hAnsi="Open Sans" w:cs="Open Sans"/>
      <w:color w:val="auto"/>
      <w:sz w:val="22"/>
      <w:szCs w:val="22"/>
    </w:rPr>
  </w:style>
  <w:style w:type="character" w:customStyle="1" w:styleId="ListLabel24">
    <w:name w:val="ListLabel 24"/>
    <w:qFormat/>
    <w:rPr>
      <w:rFonts w:ascii="Open Sans" w:hAnsi="Open Sans" w:cs="Open Sans"/>
      <w:sz w:val="22"/>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2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odyText2">
    <w:name w:val="Body Text 2"/>
    <w:basedOn w:val="Normal"/>
    <w:qFormat/>
    <w:pPr>
      <w:jc w:val="both"/>
    </w:pPr>
    <w:rPr>
      <w:rFonts w:ascii="Bookman Old Style" w:hAnsi="Bookman Old Style"/>
      <w:sz w:val="24"/>
      <w:lang w:eastAsia="en-US"/>
    </w:rPr>
  </w:style>
  <w:style w:type="paragraph" w:styleId="BodyText3">
    <w:name w:val="Body Text 3"/>
    <w:basedOn w:val="Normal"/>
    <w:qFormat/>
    <w:pPr>
      <w:spacing w:after="120"/>
    </w:pPr>
    <w:rPr>
      <w:sz w:val="16"/>
      <w:szCs w:val="16"/>
    </w:rPr>
  </w:style>
  <w:style w:type="paragraph" w:styleId="BalloonText">
    <w:name w:val="Balloon Text"/>
    <w:basedOn w:val="Normal"/>
    <w:semiHidden/>
    <w:qFormat/>
    <w:rPr>
      <w:rFonts w:ascii="Tahoma" w:hAnsi="Tahoma" w:cs="Tahoma"/>
      <w:sz w:val="16"/>
      <w:szCs w:val="16"/>
    </w:r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widowControl w:val="0"/>
      <w:tabs>
        <w:tab w:val="left" w:pos="725"/>
      </w:tabs>
      <w:ind w:right="-2"/>
      <w:jc w:val="center"/>
    </w:pPr>
    <w:rPr>
      <w:b/>
      <w:sz w:val="24"/>
      <w:szCs w:val="24"/>
      <w:lang w:eastAsia="en-US"/>
    </w:rPr>
  </w:style>
  <w:style w:type="paragraph" w:styleId="Subtitle">
    <w:name w:val="Subtitle"/>
    <w:basedOn w:val="Normal"/>
    <w:qFormat/>
    <w:pPr>
      <w:widowControl w:val="0"/>
      <w:tabs>
        <w:tab w:val="left" w:pos="725"/>
      </w:tabs>
      <w:ind w:right="-2"/>
    </w:pPr>
    <w:rPr>
      <w:b/>
      <w:sz w:val="24"/>
      <w:szCs w:val="24"/>
      <w:lang w:eastAsia="en-US"/>
    </w:rPr>
  </w:style>
  <w:style w:type="paragraph" w:styleId="BlockText">
    <w:name w:val="Block Text"/>
    <w:basedOn w:val="Normal"/>
    <w:qFormat/>
    <w:pPr>
      <w:widowControl w:val="0"/>
      <w:tabs>
        <w:tab w:val="left" w:pos="725"/>
      </w:tabs>
      <w:ind w:left="567" w:right="-2"/>
      <w:jc w:val="both"/>
    </w:pPr>
    <w:rPr>
      <w:rFonts w:ascii="Tahoma" w:hAnsi="Tahoma" w:cs="Tahoma"/>
      <w:sz w:val="24"/>
      <w:szCs w:val="24"/>
      <w:lang w:eastAsia="en-US"/>
    </w:rPr>
  </w:style>
  <w:style w:type="paragraph" w:styleId="Header">
    <w:name w:val="header"/>
    <w:basedOn w:val="Normal"/>
    <w:pPr>
      <w:tabs>
        <w:tab w:val="center" w:pos="4153"/>
        <w:tab w:val="right" w:pos="8306"/>
      </w:tabs>
    </w:pPr>
  </w:style>
  <w:style w:type="paragraph" w:styleId="NormalWeb">
    <w:name w:val="Normal (Web)"/>
    <w:basedOn w:val="Normal"/>
    <w:qFormat/>
    <w:rsid w:val="004544F3"/>
    <w:pPr>
      <w:spacing w:beforeAutospacing="1" w:afterAutospacing="1"/>
    </w:pPr>
    <w:rPr>
      <w:rFonts w:ascii="Verdana" w:hAnsi="Verdana" w:cs="Verdana"/>
      <w:sz w:val="24"/>
      <w:szCs w:val="24"/>
      <w:lang w:eastAsia="en-US"/>
    </w:rPr>
  </w:style>
  <w:style w:type="paragraph" w:customStyle="1" w:styleId="ColorfulList-Accent11">
    <w:name w:val="Colorful List - Accent 11"/>
    <w:basedOn w:val="Normal"/>
    <w:uiPriority w:val="34"/>
    <w:qFormat/>
    <w:rsid w:val="00A51589"/>
    <w:pPr>
      <w:ind w:left="720"/>
    </w:pPr>
  </w:style>
  <w:style w:type="paragraph" w:styleId="ListParagraph">
    <w:name w:val="List Paragraph"/>
    <w:basedOn w:val="Normal"/>
    <w:uiPriority w:val="34"/>
    <w:qFormat/>
    <w:rsid w:val="00274155"/>
    <w:pPr>
      <w:spacing w:after="200" w:line="276" w:lineRule="auto"/>
      <w:ind w:left="720"/>
      <w:contextualSpacing/>
    </w:pPr>
    <w:rPr>
      <w:rFonts w:ascii="Calibri" w:hAnsi="Calibri"/>
      <w:sz w:val="22"/>
      <w:szCs w:val="22"/>
      <w:lang w:eastAsia="en-US"/>
    </w:rPr>
  </w:style>
  <w:style w:type="paragraph" w:customStyle="1" w:styleId="paragraph">
    <w:name w:val="paragraph"/>
    <w:basedOn w:val="Normal"/>
    <w:qFormat/>
    <w:rsid w:val="00CA4E02"/>
    <w:pPr>
      <w:spacing w:beforeAutospacing="1" w:afterAutospacing="1"/>
    </w:pPr>
    <w:rPr>
      <w:sz w:val="24"/>
      <w:szCs w:val="24"/>
    </w:rPr>
  </w:style>
  <w:style w:type="table" w:styleId="TableGrid">
    <w:name w:val="Table Grid"/>
    <w:basedOn w:val="TableNormal"/>
    <w:uiPriority w:val="59"/>
    <w:rsid w:val="00CC1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1Light">
    <w:name w:val="Grid Table 1 Light"/>
    <w:basedOn w:val="TableNormal"/>
    <w:uiPriority w:val="46"/>
    <w:rsid w:val="00574E5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2" w:space="0" w:color="000000" w:themeColor="text1"/>
        </w:tcBorders>
      </w:tcPr>
    </w:tblStylePr>
    <w:tblStylePr w:type="firstCol">
      <w:rPr>
        <w:b/>
        <w:bCs/>
      </w:rPr>
    </w:tblStylePr>
    <w:tblStylePr w:type="lastCol">
      <w:rPr>
        <w:b/>
        <w:bCs/>
      </w:rPr>
    </w:tblStylePr>
  </w:style>
  <w:style w:type="table" w:styleId="GridTable2">
    <w:name w:val="Grid Table 2"/>
    <w:basedOn w:val="TableNormal"/>
    <w:uiPriority w:val="47"/>
    <w:rsid w:val="00574E56"/>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000000" w:themeColor="text1"/>
          <w:insideH w:val="nil"/>
          <w:insideV w:val="nil"/>
        </w:tcBorders>
        <w:shd w:val="clear" w:color="auto" w:fill="FFFFFF" w:themeFill="background1"/>
      </w:tcPr>
    </w:tblStylePr>
    <w:tblStylePr w:type="lastRow">
      <w:rPr>
        <w:b/>
        <w:bCs/>
      </w:rPr>
      <w:tblPr/>
      <w:tcPr>
        <w:tcBorders>
          <w:top w:val="double" w:sz="2" w:space="0" w:color="000000" w:themeColor="text1"/>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574E56"/>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archtundra.northampton.ac.uk/?tag=4ff5d81d-f7cc-446d-ba9f-444410ae263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pad.northampton.ac.uk/academicintegrity/cours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earchtundra.northampton.ac.uk/?tag=78bf2c82-8da2-458c-947f-88f07a218bc9"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archtundra.northampton.ac.uk/?tag=6b623fba-68f4-4e99-915e-34128c51b1c6" TargetMode="External"/><Relationship Id="rId5" Type="http://schemas.openxmlformats.org/officeDocument/2006/relationships/styles" Target="styles.xml"/><Relationship Id="rId15" Type="http://schemas.openxmlformats.org/officeDocument/2006/relationships/hyperlink" Target="https://searchtundra.northampton.ac.uk/?tag=b589ce9e-7b59-406a-952e-6a0b4ca74dc5" TargetMode="External"/><Relationship Id="rId10" Type="http://schemas.openxmlformats.org/officeDocument/2006/relationships/hyperlink" Target="https://skillshub.northampton.ac.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tundrasearch.northampton.ac.uk/results/searchresult.aspx?Search=&amp;Title=&amp;Description=TLAF+ACRE+GC+11+&amp;submit=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f9cbf47-0531-445d-acd9-5dd68c873f33">
      <UserInfo>
        <DisplayName>FBL OBHRM Members</DisplayName>
        <AccountId>158</AccountId>
        <AccountType/>
      </UserInfo>
      <UserInfo>
        <DisplayName>Harriet Richmond</DisplayName>
        <AccountId>97</AccountId>
        <AccountType/>
      </UserInfo>
      <UserInfo>
        <DisplayName>FBL ALL STAFF Members</DisplayName>
        <AccountId>226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BC3D493433E744A98E44F7B422CFE6" ma:contentTypeVersion="13" ma:contentTypeDescription="Create a new document." ma:contentTypeScope="" ma:versionID="c4eb6dbf0a15a03cb97cd83b70c780d4">
  <xsd:schema xmlns:xsd="http://www.w3.org/2001/XMLSchema" xmlns:xs="http://www.w3.org/2001/XMLSchema" xmlns:p="http://schemas.microsoft.com/office/2006/metadata/properties" xmlns:ns3="ba2cc440-4502-44dc-81fc-36f38a28663e" xmlns:ns4="5f9cbf47-0531-445d-acd9-5dd68c873f33" targetNamespace="http://schemas.microsoft.com/office/2006/metadata/properties" ma:root="true" ma:fieldsID="105d7ee0f233cc7eb46646c233696793" ns3:_="" ns4:_="">
    <xsd:import namespace="ba2cc440-4502-44dc-81fc-36f38a28663e"/>
    <xsd:import namespace="5f9cbf47-0531-445d-acd9-5dd68c873f3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cc440-4502-44dc-81fc-36f38a2866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9cbf47-0531-445d-acd9-5dd68c873f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B7B86F-D31A-4DA1-B7DE-A38114ACEB4A}">
  <ds:schemaRefs>
    <ds:schemaRef ds:uri="http://schemas.microsoft.com/office/2006/metadata/properties"/>
    <ds:schemaRef ds:uri="http://schemas.microsoft.com/office/infopath/2007/PartnerControls"/>
    <ds:schemaRef ds:uri="5f9cbf47-0531-445d-acd9-5dd68c873f33"/>
  </ds:schemaRefs>
</ds:datastoreItem>
</file>

<file path=customXml/itemProps2.xml><?xml version="1.0" encoding="utf-8"?>
<ds:datastoreItem xmlns:ds="http://schemas.openxmlformats.org/officeDocument/2006/customXml" ds:itemID="{5A4B290B-D98A-4117-BC90-55B50329E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cc440-4502-44dc-81fc-36f38a28663e"/>
    <ds:schemaRef ds:uri="5f9cbf47-0531-445d-acd9-5dd68c873f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90311A-E6A8-41DA-8C4D-DBBFBB89E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UNIVERSITY COLLEGE NORTHAMPTON</vt:lpstr>
    </vt:vector>
  </TitlesOfParts>
  <Company>UCN</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NORTHAMPTON</dc:title>
  <dc:subject/>
  <dc:creator>danmwasmo@gmail.com</dc:creator>
  <dc:description/>
  <cp:lastModifiedBy>danmwasmo@gmail.com</cp:lastModifiedBy>
  <cp:revision>2</cp:revision>
  <dcterms:created xsi:type="dcterms:W3CDTF">2022-04-29T07:50:00Z</dcterms:created>
  <dcterms:modified xsi:type="dcterms:W3CDTF">2022-04-29T07:50:00Z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UCN</vt:lpwstr>
  </property>
  <property fmtid="{D5CDD505-2E9C-101B-9397-08002B2CF9AE}" pid="4" name="ContentTypeId">
    <vt:lpwstr>0x01010004BC3D493433E744A98E44F7B422CFE6</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