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1048" w14:textId="77777777" w:rsidR="009C0B58" w:rsidRPr="009C0B58" w:rsidRDefault="009C0B58" w:rsidP="009C0B58">
      <w:r w:rsidRPr="009C0B58">
        <w:t xml:space="preserve">Goal: The goal is to examine and understand how social media and legal/ethical issues can become entangled.  </w:t>
      </w:r>
    </w:p>
    <w:p w14:paraId="698E411E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rcwNbcwMTewNDFQ0lEKTi0uzszPAykwrAUAtR0wdywAAAA="/>
  </w:docVars>
  <w:rsids>
    <w:rsidRoot w:val="009C0B58"/>
    <w:rsid w:val="009C0B5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EC6D"/>
  <w15:chartTrackingRefBased/>
  <w15:docId w15:val="{2C0E73F0-580C-496C-AEF4-D76FBB4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2022-03-14T10:37:00Z</dcterms:created>
  <dcterms:modified xsi:type="dcterms:W3CDTF">2022-03-14T10:37:00Z</dcterms:modified>
</cp:coreProperties>
</file>