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0564" w14:textId="490E7915" w:rsidR="00D15BD5" w:rsidRDefault="006C08B4">
      <w:r w:rsidRPr="006C08B4">
        <w:t>Topic Question: To what extent has the increased use of renewable energy affected Germany's leading automotive industries since 2020?</w:t>
      </w:r>
      <w:r w:rsidRPr="006C08B4">
        <w:br/>
        <w:t>-Must include graphs explaining specific automotive industries in Germany</w:t>
      </w:r>
      <w:r w:rsidRPr="006C08B4">
        <w:br/>
        <w:t>-Topic mainly discusses Microeconomic concepts and should be specific. Macroeconomics concepts should be explained, but mainly a Microeconomic.</w:t>
      </w:r>
      <w:r w:rsidRPr="006C08B4">
        <w:br/>
        <w:t>-Discusses Germany's electric car subsidy and other forms of government intervention followed by their affects.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jE0NLW0NDcyMbdQ0lEKTi0uzszPAykwrAUA8EPTkSwAAAA="/>
  </w:docVars>
  <w:rsids>
    <w:rsidRoot w:val="006C08B4"/>
    <w:rsid w:val="006C08B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D875"/>
  <w15:chartTrackingRefBased/>
  <w15:docId w15:val="{B7383587-6BD3-4560-9411-229223A4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2022-03-15T16:08:00Z</dcterms:created>
  <dcterms:modified xsi:type="dcterms:W3CDTF">2022-03-15T16:08:00Z</dcterms:modified>
</cp:coreProperties>
</file>