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1EA8" w14:textId="6D0560B8" w:rsidR="00060A1E" w:rsidRPr="00060A1E" w:rsidRDefault="00060A1E" w:rsidP="00060A1E">
      <w:pPr>
        <w:rPr>
          <w:rFonts w:ascii="Arial" w:hAnsi="Arial" w:cs="Arial"/>
          <w:i/>
          <w:iCs/>
        </w:rPr>
      </w:pPr>
      <w:r w:rsidRPr="00060A1E">
        <w:rPr>
          <w:rFonts w:ascii="Arial" w:hAnsi="Arial" w:cs="Arial"/>
          <w:i/>
          <w:iCs/>
        </w:rPr>
        <w:t xml:space="preserve"> Topic -- psychology of </w:t>
      </w:r>
      <w:r w:rsidRPr="00565065">
        <w:rPr>
          <w:rFonts w:ascii="Arial" w:hAnsi="Arial" w:cs="Arial"/>
          <w:i/>
          <w:iCs/>
        </w:rPr>
        <w:t>violence</w:t>
      </w:r>
      <w:r w:rsidRPr="00060A1E">
        <w:rPr>
          <w:rFonts w:ascii="Arial" w:hAnsi="Arial" w:cs="Arial"/>
          <w:i/>
          <w:iCs/>
        </w:rPr>
        <w:t xml:space="preserve"> and intimidation</w:t>
      </w:r>
    </w:p>
    <w:p w14:paraId="39B068DD" w14:textId="77777777" w:rsidR="00060A1E" w:rsidRPr="00565065" w:rsidRDefault="00060A1E" w:rsidP="00060A1E">
      <w:pPr>
        <w:rPr>
          <w:rFonts w:ascii="Arial" w:hAnsi="Arial" w:cs="Arial"/>
          <w:i/>
          <w:iCs/>
        </w:rPr>
      </w:pPr>
      <w:r w:rsidRPr="00060A1E">
        <w:rPr>
          <w:rFonts w:ascii="Arial" w:hAnsi="Arial" w:cs="Arial"/>
          <w:i/>
          <w:iCs/>
        </w:rPr>
        <w:t xml:space="preserve">Students will write a double-spaced, 8 – </w:t>
      </w:r>
      <w:proofErr w:type="gramStart"/>
      <w:r w:rsidRPr="00060A1E">
        <w:rPr>
          <w:rFonts w:ascii="Arial" w:hAnsi="Arial" w:cs="Arial"/>
          <w:i/>
          <w:iCs/>
        </w:rPr>
        <w:t>10 page</w:t>
      </w:r>
      <w:proofErr w:type="gramEnd"/>
      <w:r w:rsidRPr="00060A1E">
        <w:rPr>
          <w:rFonts w:ascii="Arial" w:hAnsi="Arial" w:cs="Arial"/>
          <w:i/>
          <w:iCs/>
        </w:rPr>
        <w:t xml:space="preserve"> paper about any aspect of psychology as it relates to law (ex: Risk assessments and Dangerousness to Society, Psychopathy, Competency to Stand trial, Eyewitness Testimony, PTSD and Police, etc.). </w:t>
      </w:r>
    </w:p>
    <w:p w14:paraId="6F4B6CDF" w14:textId="77777777" w:rsidR="00060A1E" w:rsidRPr="00565065" w:rsidRDefault="00060A1E" w:rsidP="00060A1E">
      <w:pPr>
        <w:rPr>
          <w:rFonts w:ascii="Arial" w:hAnsi="Arial" w:cs="Arial"/>
          <w:i/>
          <w:iCs/>
        </w:rPr>
      </w:pPr>
      <w:r w:rsidRPr="00060A1E">
        <w:rPr>
          <w:rFonts w:ascii="Arial" w:hAnsi="Arial" w:cs="Arial"/>
          <w:i/>
          <w:iCs/>
        </w:rPr>
        <w:t>This paper must include four areas: 1) research synthesis, 2) community application, 3) diversity awareness, 4) faith integration. First, students will clearly and articulately synthesize research findings from peer-reviewed, scholarly sources on the selected topic from forensic psychology. Second, students will apply the research to a community setting such as prisons, advocacy agencies, the courts, or police departments.</w:t>
      </w:r>
    </w:p>
    <w:p w14:paraId="398689C1" w14:textId="3FB3C9A4" w:rsidR="00060A1E" w:rsidRPr="00060A1E" w:rsidRDefault="00060A1E" w:rsidP="00060A1E">
      <w:pPr>
        <w:rPr>
          <w:rFonts w:ascii="Arial" w:hAnsi="Arial" w:cs="Arial"/>
          <w:i/>
          <w:iCs/>
        </w:rPr>
      </w:pPr>
      <w:r w:rsidRPr="00060A1E">
        <w:rPr>
          <w:rFonts w:ascii="Arial" w:hAnsi="Arial" w:cs="Arial"/>
          <w:i/>
          <w:iCs/>
        </w:rPr>
        <w:t xml:space="preserve"> Next, students will briefly summarize issues relevant to diverse populations within the selected forensic psychology topic. For example, if the topic is eyewitness testimony, students may review research regarding race and eyewitness identification. Finally, students will conclude with a statement on faith integration. Specifically, students will identify practical applications of a Christian worldview to the research. For example, if the topic is violence risk assessment, students may speak to the Christian value of redemption and how that relates to risk measures that include dynamic factors. Students will provide support from a Christian worldview as to why this is relevant (</w:t>
      </w:r>
      <w:proofErr w:type="gramStart"/>
      <w:r w:rsidRPr="00060A1E">
        <w:rPr>
          <w:rFonts w:ascii="Arial" w:hAnsi="Arial" w:cs="Arial"/>
          <w:i/>
          <w:iCs/>
        </w:rPr>
        <w:t>i.e.</w:t>
      </w:r>
      <w:proofErr w:type="gramEnd"/>
      <w:r w:rsidRPr="00060A1E">
        <w:rPr>
          <w:rFonts w:ascii="Arial" w:hAnsi="Arial" w:cs="Arial"/>
          <w:i/>
          <w:iCs/>
        </w:rPr>
        <w:t xml:space="preserve"> Christians believe transformation and redemption are possible. Throughout the Bible God redeemed murderers, thieves, and those cast out by society).</w:t>
      </w:r>
    </w:p>
    <w:p w14:paraId="625F78EE" w14:textId="02B1660A" w:rsidR="00060A1E" w:rsidRPr="00060A1E" w:rsidRDefault="00060A1E" w:rsidP="00060A1E">
      <w:pPr>
        <w:numPr>
          <w:ilvl w:val="0"/>
          <w:numId w:val="1"/>
        </w:numPr>
        <w:rPr>
          <w:rFonts w:ascii="Arial" w:hAnsi="Arial" w:cs="Arial"/>
          <w:i/>
          <w:iCs/>
        </w:rPr>
      </w:pPr>
      <w:r w:rsidRPr="00060A1E">
        <w:rPr>
          <w:rFonts w:ascii="Arial" w:hAnsi="Arial" w:cs="Arial"/>
          <w:i/>
          <w:iCs/>
        </w:rPr>
        <w:t xml:space="preserve">Professional presentation will factor into the final grade. Use academic language, ensure the paper is structured well, is grammatically correct, and succinctly, articulately written. Professionals do not plagiarize and give credit where it is due; this is an issue of integrity and </w:t>
      </w:r>
      <w:proofErr w:type="spellStart"/>
      <w:r w:rsidRPr="00060A1E">
        <w:rPr>
          <w:rFonts w:ascii="Arial" w:hAnsi="Arial" w:cs="Arial"/>
          <w:i/>
          <w:iCs/>
        </w:rPr>
        <w:t>honor</w:t>
      </w:r>
      <w:proofErr w:type="spellEnd"/>
      <w:r w:rsidRPr="00060A1E">
        <w:rPr>
          <w:rFonts w:ascii="Arial" w:hAnsi="Arial" w:cs="Arial"/>
          <w:i/>
          <w:iCs/>
        </w:rPr>
        <w:t>.</w:t>
      </w:r>
    </w:p>
    <w:p w14:paraId="72F6E3F3" w14:textId="32CF4879" w:rsidR="00060A1E" w:rsidRPr="00060A1E" w:rsidRDefault="00060A1E" w:rsidP="00060A1E">
      <w:pPr>
        <w:numPr>
          <w:ilvl w:val="0"/>
          <w:numId w:val="2"/>
        </w:numPr>
        <w:rPr>
          <w:rFonts w:ascii="Arial" w:hAnsi="Arial" w:cs="Arial"/>
          <w:i/>
          <w:iCs/>
        </w:rPr>
      </w:pPr>
      <w:r w:rsidRPr="00060A1E">
        <w:rPr>
          <w:rFonts w:ascii="Arial" w:hAnsi="Arial" w:cs="Arial"/>
          <w:i/>
          <w:iCs/>
        </w:rPr>
        <w:t xml:space="preserve">Research papers are required to be in APA format. This includes title page, abstract and references (including in-text citations). The research paper should be between 8 </w:t>
      </w:r>
      <w:r w:rsidRPr="00060A1E">
        <w:rPr>
          <w:rFonts w:ascii="Arial" w:hAnsi="Arial" w:cs="Arial"/>
          <w:i/>
          <w:iCs/>
        </w:rPr>
        <w:lastRenderedPageBreak/>
        <w:t>- 10 pages double spaced NOT including title page, abstract and references. If you are unfamiliar with APA citation, reference or format, refer to the APA Manual of Publication, 7</w:t>
      </w:r>
      <w:r w:rsidRPr="00060A1E">
        <w:rPr>
          <w:rFonts w:ascii="Arial" w:hAnsi="Arial" w:cs="Arial"/>
          <w:i/>
          <w:iCs/>
          <w:vertAlign w:val="superscript"/>
        </w:rPr>
        <w:t>th</w:t>
      </w:r>
      <w:r w:rsidRPr="00060A1E">
        <w:rPr>
          <w:rFonts w:ascii="Arial" w:hAnsi="Arial" w:cs="Arial"/>
          <w:i/>
          <w:iCs/>
        </w:rPr>
        <w:t xml:space="preserve"> Edition and seek out assistance at the Student Success </w:t>
      </w:r>
      <w:proofErr w:type="spellStart"/>
      <w:r w:rsidRPr="00060A1E">
        <w:rPr>
          <w:rFonts w:ascii="Arial" w:hAnsi="Arial" w:cs="Arial"/>
          <w:i/>
          <w:iCs/>
        </w:rPr>
        <w:t>Center</w:t>
      </w:r>
      <w:proofErr w:type="spellEnd"/>
      <w:r w:rsidRPr="00060A1E">
        <w:rPr>
          <w:rFonts w:ascii="Arial" w:hAnsi="Arial" w:cs="Arial"/>
          <w:i/>
          <w:iCs/>
        </w:rPr>
        <w:t xml:space="preserve"> on campus.</w:t>
      </w:r>
    </w:p>
    <w:p w14:paraId="34726925" w14:textId="609F5D71" w:rsidR="00060A1E" w:rsidRPr="00060A1E" w:rsidRDefault="00060A1E" w:rsidP="00060A1E">
      <w:pPr>
        <w:numPr>
          <w:ilvl w:val="0"/>
          <w:numId w:val="3"/>
        </w:numPr>
        <w:rPr>
          <w:rFonts w:ascii="Arial" w:hAnsi="Arial" w:cs="Arial"/>
          <w:i/>
          <w:iCs/>
        </w:rPr>
      </w:pPr>
      <w:r w:rsidRPr="00060A1E">
        <w:rPr>
          <w:rFonts w:ascii="Arial" w:hAnsi="Arial" w:cs="Arial"/>
          <w:i/>
          <w:iCs/>
        </w:rPr>
        <w:t>References: IMPORTANT—An acceptable paper should synthesize knowledge from a variety of respected (peer-reviewed &amp; scholarly) sources. Each of the four areas identified above must include at least two peer-reviewed, scholarly sources. A minimum of 10 references total must be used. Websites can be used as supplementary material only; no more than 2 website citations (in addition to the scholarly sources). Use primary sources of academic research unless absolutely necessary.</w:t>
      </w:r>
    </w:p>
    <w:p w14:paraId="24387647" w14:textId="77777777" w:rsidR="00060A1E" w:rsidRPr="00060A1E" w:rsidRDefault="00060A1E" w:rsidP="00060A1E">
      <w:pPr>
        <w:numPr>
          <w:ilvl w:val="0"/>
          <w:numId w:val="4"/>
        </w:numPr>
        <w:rPr>
          <w:rFonts w:ascii="Arial" w:hAnsi="Arial" w:cs="Arial"/>
          <w:i/>
          <w:iCs/>
        </w:rPr>
      </w:pPr>
      <w:r w:rsidRPr="00060A1E">
        <w:rPr>
          <w:rFonts w:ascii="Arial" w:hAnsi="Arial" w:cs="Arial"/>
          <w:i/>
          <w:iCs/>
        </w:rPr>
        <w:t>You may find sources for the faith integration piece in the following journals (though by no mean is this a comprehensive list):</w:t>
      </w:r>
    </w:p>
    <w:p w14:paraId="251E405C" w14:textId="77777777" w:rsidR="00060A1E" w:rsidRPr="00060A1E" w:rsidRDefault="00060A1E" w:rsidP="00060A1E">
      <w:pPr>
        <w:numPr>
          <w:ilvl w:val="0"/>
          <w:numId w:val="5"/>
        </w:numPr>
        <w:rPr>
          <w:rFonts w:ascii="Arial" w:hAnsi="Arial" w:cs="Arial"/>
          <w:i/>
          <w:iCs/>
        </w:rPr>
      </w:pPr>
    </w:p>
    <w:p w14:paraId="1497D69A" w14:textId="77777777" w:rsidR="00060A1E" w:rsidRPr="00060A1E" w:rsidRDefault="00060A1E" w:rsidP="00060A1E">
      <w:pPr>
        <w:numPr>
          <w:ilvl w:val="1"/>
          <w:numId w:val="5"/>
        </w:numPr>
        <w:rPr>
          <w:rFonts w:ascii="Arial" w:hAnsi="Arial" w:cs="Arial"/>
          <w:i/>
          <w:iCs/>
        </w:rPr>
      </w:pPr>
    </w:p>
    <w:p w14:paraId="201088DF" w14:textId="77777777" w:rsidR="00060A1E" w:rsidRPr="00060A1E" w:rsidRDefault="00060A1E" w:rsidP="00060A1E">
      <w:pPr>
        <w:numPr>
          <w:ilvl w:val="2"/>
          <w:numId w:val="5"/>
        </w:numPr>
        <w:rPr>
          <w:rFonts w:ascii="Arial" w:hAnsi="Arial" w:cs="Arial"/>
          <w:i/>
          <w:iCs/>
        </w:rPr>
      </w:pPr>
      <w:r w:rsidRPr="00060A1E">
        <w:rPr>
          <w:rFonts w:ascii="Arial" w:hAnsi="Arial" w:cs="Arial"/>
          <w:i/>
          <w:iCs/>
        </w:rPr>
        <w:t>Social Work and Christianity</w:t>
      </w:r>
    </w:p>
    <w:p w14:paraId="355F8BF5" w14:textId="77777777" w:rsidR="00060A1E" w:rsidRPr="00060A1E" w:rsidRDefault="00060A1E" w:rsidP="00060A1E">
      <w:pPr>
        <w:numPr>
          <w:ilvl w:val="2"/>
          <w:numId w:val="5"/>
        </w:numPr>
        <w:rPr>
          <w:rFonts w:ascii="Arial" w:hAnsi="Arial" w:cs="Arial"/>
          <w:i/>
          <w:iCs/>
        </w:rPr>
      </w:pPr>
      <w:r w:rsidRPr="00060A1E">
        <w:rPr>
          <w:rFonts w:ascii="Arial" w:hAnsi="Arial" w:cs="Arial"/>
          <w:i/>
          <w:iCs/>
        </w:rPr>
        <w:t>The Journal of Psychology and Christianity</w:t>
      </w:r>
    </w:p>
    <w:p w14:paraId="2D8911A5" w14:textId="77777777" w:rsidR="00060A1E" w:rsidRPr="00060A1E" w:rsidRDefault="00060A1E" w:rsidP="00060A1E">
      <w:pPr>
        <w:numPr>
          <w:ilvl w:val="2"/>
          <w:numId w:val="5"/>
        </w:numPr>
        <w:rPr>
          <w:rFonts w:ascii="Arial" w:hAnsi="Arial" w:cs="Arial"/>
          <w:i/>
          <w:iCs/>
        </w:rPr>
      </w:pPr>
      <w:r w:rsidRPr="00060A1E">
        <w:rPr>
          <w:rFonts w:ascii="Arial" w:hAnsi="Arial" w:cs="Arial"/>
          <w:i/>
          <w:iCs/>
        </w:rPr>
        <w:t>Perspectives on Science and Christian Faith</w:t>
      </w:r>
    </w:p>
    <w:p w14:paraId="7E76A009" w14:textId="77777777" w:rsidR="00060A1E" w:rsidRPr="00060A1E" w:rsidRDefault="00060A1E" w:rsidP="00060A1E">
      <w:pPr>
        <w:numPr>
          <w:ilvl w:val="2"/>
          <w:numId w:val="5"/>
        </w:numPr>
        <w:rPr>
          <w:rFonts w:ascii="Arial" w:hAnsi="Arial" w:cs="Arial"/>
          <w:i/>
          <w:iCs/>
        </w:rPr>
      </w:pPr>
      <w:r w:rsidRPr="00060A1E">
        <w:rPr>
          <w:rFonts w:ascii="Arial" w:hAnsi="Arial" w:cs="Arial"/>
          <w:i/>
          <w:iCs/>
        </w:rPr>
        <w:t>Christian Scholar’s Review</w:t>
      </w:r>
    </w:p>
    <w:p w14:paraId="27E662D8" w14:textId="77777777" w:rsidR="00060A1E" w:rsidRPr="00060A1E" w:rsidRDefault="00060A1E" w:rsidP="00060A1E">
      <w:pPr>
        <w:numPr>
          <w:ilvl w:val="2"/>
          <w:numId w:val="5"/>
        </w:numPr>
        <w:rPr>
          <w:rFonts w:ascii="Arial" w:hAnsi="Arial" w:cs="Arial"/>
          <w:i/>
          <w:iCs/>
        </w:rPr>
      </w:pPr>
      <w:r w:rsidRPr="00060A1E">
        <w:rPr>
          <w:rFonts w:ascii="Arial" w:hAnsi="Arial" w:cs="Arial"/>
          <w:i/>
          <w:iCs/>
        </w:rPr>
        <w:t>Spiritus: A Journal of Christian Spirituality</w:t>
      </w:r>
    </w:p>
    <w:p w14:paraId="4C6ACFC3" w14:textId="77777777" w:rsidR="00060A1E" w:rsidRPr="00060A1E" w:rsidRDefault="00060A1E" w:rsidP="00060A1E">
      <w:pPr>
        <w:numPr>
          <w:ilvl w:val="2"/>
          <w:numId w:val="5"/>
        </w:numPr>
        <w:rPr>
          <w:rFonts w:ascii="Arial" w:hAnsi="Arial" w:cs="Arial"/>
          <w:i/>
          <w:iCs/>
        </w:rPr>
      </w:pPr>
      <w:r w:rsidRPr="00060A1E">
        <w:rPr>
          <w:rFonts w:ascii="Arial" w:hAnsi="Arial" w:cs="Arial"/>
          <w:i/>
          <w:iCs/>
        </w:rPr>
        <w:t>Journal of Christian Nursing</w:t>
      </w:r>
    </w:p>
    <w:p w14:paraId="38B136C5" w14:textId="77777777" w:rsidR="00060A1E" w:rsidRPr="00060A1E" w:rsidRDefault="00060A1E" w:rsidP="00060A1E">
      <w:pPr>
        <w:numPr>
          <w:ilvl w:val="2"/>
          <w:numId w:val="5"/>
        </w:numPr>
        <w:rPr>
          <w:rFonts w:ascii="Arial" w:hAnsi="Arial" w:cs="Arial"/>
          <w:i/>
          <w:iCs/>
        </w:rPr>
      </w:pPr>
      <w:r w:rsidRPr="00060A1E">
        <w:rPr>
          <w:rFonts w:ascii="Arial" w:hAnsi="Arial" w:cs="Arial"/>
          <w:i/>
          <w:iCs/>
        </w:rPr>
        <w:t>Christian Scholar’s Review</w:t>
      </w:r>
    </w:p>
    <w:p w14:paraId="018EEF9F" w14:textId="77777777" w:rsidR="00060A1E" w:rsidRPr="00060A1E" w:rsidRDefault="00060A1E" w:rsidP="00060A1E">
      <w:pPr>
        <w:numPr>
          <w:ilvl w:val="2"/>
          <w:numId w:val="5"/>
        </w:numPr>
        <w:rPr>
          <w:rFonts w:ascii="Arial" w:hAnsi="Arial" w:cs="Arial"/>
          <w:i/>
          <w:iCs/>
        </w:rPr>
      </w:pPr>
      <w:r w:rsidRPr="00060A1E">
        <w:rPr>
          <w:rFonts w:ascii="Arial" w:hAnsi="Arial" w:cs="Arial"/>
          <w:i/>
          <w:iCs/>
        </w:rPr>
        <w:t>Christian Century</w:t>
      </w:r>
    </w:p>
    <w:p w14:paraId="638B683F" w14:textId="77777777" w:rsidR="00060A1E" w:rsidRPr="00060A1E" w:rsidRDefault="00060A1E" w:rsidP="00060A1E">
      <w:pPr>
        <w:numPr>
          <w:ilvl w:val="0"/>
          <w:numId w:val="6"/>
        </w:numPr>
        <w:rPr>
          <w:rFonts w:ascii="Arial" w:hAnsi="Arial" w:cs="Arial"/>
          <w:i/>
          <w:iCs/>
        </w:rPr>
      </w:pPr>
      <w:r w:rsidRPr="00060A1E">
        <w:rPr>
          <w:rFonts w:ascii="Arial" w:hAnsi="Arial" w:cs="Arial"/>
          <w:i/>
          <w:iCs/>
        </w:rPr>
        <w:lastRenderedPageBreak/>
        <w:t>When conducting a search for the faith integration section consider Christian values and concepts such as:</w:t>
      </w:r>
    </w:p>
    <w:p w14:paraId="762B2FA5" w14:textId="77777777" w:rsidR="00060A1E" w:rsidRPr="00060A1E" w:rsidRDefault="00060A1E" w:rsidP="00060A1E">
      <w:pPr>
        <w:numPr>
          <w:ilvl w:val="1"/>
          <w:numId w:val="6"/>
        </w:numPr>
        <w:rPr>
          <w:rFonts w:ascii="Arial" w:hAnsi="Arial" w:cs="Arial"/>
          <w:i/>
          <w:iCs/>
        </w:rPr>
      </w:pPr>
      <w:r w:rsidRPr="00060A1E">
        <w:rPr>
          <w:rFonts w:ascii="Arial" w:hAnsi="Arial" w:cs="Arial"/>
          <w:i/>
          <w:iCs/>
        </w:rPr>
        <w:t>Community</w:t>
      </w:r>
    </w:p>
    <w:p w14:paraId="71CFD4C9" w14:textId="77777777" w:rsidR="00060A1E" w:rsidRPr="00060A1E" w:rsidRDefault="00060A1E" w:rsidP="00060A1E">
      <w:pPr>
        <w:numPr>
          <w:ilvl w:val="1"/>
          <w:numId w:val="6"/>
        </w:numPr>
        <w:rPr>
          <w:rFonts w:ascii="Arial" w:hAnsi="Arial" w:cs="Arial"/>
          <w:i/>
          <w:iCs/>
        </w:rPr>
      </w:pPr>
      <w:r w:rsidRPr="00060A1E">
        <w:rPr>
          <w:rFonts w:ascii="Arial" w:hAnsi="Arial" w:cs="Arial"/>
          <w:i/>
          <w:iCs/>
        </w:rPr>
        <w:t>Resilience</w:t>
      </w:r>
    </w:p>
    <w:p w14:paraId="4D2308FF" w14:textId="77777777" w:rsidR="00060A1E" w:rsidRPr="00060A1E" w:rsidRDefault="00060A1E" w:rsidP="00060A1E">
      <w:pPr>
        <w:numPr>
          <w:ilvl w:val="1"/>
          <w:numId w:val="6"/>
        </w:numPr>
        <w:rPr>
          <w:rFonts w:ascii="Arial" w:hAnsi="Arial" w:cs="Arial"/>
          <w:i/>
          <w:iCs/>
        </w:rPr>
      </w:pPr>
      <w:r w:rsidRPr="00060A1E">
        <w:rPr>
          <w:rFonts w:ascii="Arial" w:hAnsi="Arial" w:cs="Arial"/>
          <w:i/>
          <w:iCs/>
        </w:rPr>
        <w:t>Redemption</w:t>
      </w:r>
    </w:p>
    <w:p w14:paraId="541D00B8" w14:textId="77777777" w:rsidR="00060A1E" w:rsidRPr="00060A1E" w:rsidRDefault="00060A1E" w:rsidP="00060A1E">
      <w:pPr>
        <w:numPr>
          <w:ilvl w:val="1"/>
          <w:numId w:val="6"/>
        </w:numPr>
        <w:rPr>
          <w:rFonts w:ascii="Arial" w:hAnsi="Arial" w:cs="Arial"/>
          <w:i/>
          <w:iCs/>
        </w:rPr>
      </w:pPr>
      <w:r w:rsidRPr="00060A1E">
        <w:rPr>
          <w:rFonts w:ascii="Arial" w:hAnsi="Arial" w:cs="Arial"/>
          <w:i/>
          <w:iCs/>
        </w:rPr>
        <w:t>Hope</w:t>
      </w:r>
    </w:p>
    <w:p w14:paraId="77B163C3" w14:textId="77777777" w:rsidR="00060A1E" w:rsidRPr="00060A1E" w:rsidRDefault="00060A1E" w:rsidP="00060A1E">
      <w:pPr>
        <w:numPr>
          <w:ilvl w:val="1"/>
          <w:numId w:val="6"/>
        </w:numPr>
        <w:rPr>
          <w:rFonts w:ascii="Arial" w:hAnsi="Arial" w:cs="Arial"/>
          <w:i/>
          <w:iCs/>
        </w:rPr>
      </w:pPr>
      <w:r w:rsidRPr="00060A1E">
        <w:rPr>
          <w:rFonts w:ascii="Arial" w:hAnsi="Arial" w:cs="Arial"/>
          <w:i/>
          <w:iCs/>
        </w:rPr>
        <w:t>Justice</w:t>
      </w:r>
    </w:p>
    <w:p w14:paraId="6B4D36A2" w14:textId="77777777" w:rsidR="00060A1E" w:rsidRPr="00060A1E" w:rsidRDefault="00060A1E" w:rsidP="00060A1E">
      <w:pPr>
        <w:numPr>
          <w:ilvl w:val="1"/>
          <w:numId w:val="6"/>
        </w:numPr>
        <w:rPr>
          <w:rFonts w:ascii="Arial" w:hAnsi="Arial" w:cs="Arial"/>
          <w:i/>
          <w:iCs/>
        </w:rPr>
      </w:pPr>
      <w:r w:rsidRPr="00060A1E">
        <w:rPr>
          <w:rFonts w:ascii="Arial" w:hAnsi="Arial" w:cs="Arial"/>
          <w:i/>
          <w:iCs/>
        </w:rPr>
        <w:t>Truth</w:t>
      </w:r>
    </w:p>
    <w:p w14:paraId="0C35DC5E" w14:textId="77777777" w:rsidR="00060A1E" w:rsidRPr="00060A1E" w:rsidRDefault="00060A1E" w:rsidP="00060A1E">
      <w:pPr>
        <w:numPr>
          <w:ilvl w:val="1"/>
          <w:numId w:val="6"/>
        </w:numPr>
        <w:rPr>
          <w:rFonts w:ascii="Arial" w:hAnsi="Arial" w:cs="Arial"/>
          <w:i/>
          <w:iCs/>
        </w:rPr>
      </w:pPr>
      <w:r w:rsidRPr="00060A1E">
        <w:rPr>
          <w:rFonts w:ascii="Arial" w:hAnsi="Arial" w:cs="Arial"/>
          <w:i/>
          <w:iCs/>
        </w:rPr>
        <w:t>Goodness</w:t>
      </w:r>
    </w:p>
    <w:p w14:paraId="0953AAD7" w14:textId="77777777" w:rsidR="00060A1E" w:rsidRPr="00060A1E" w:rsidRDefault="00060A1E" w:rsidP="00060A1E">
      <w:pPr>
        <w:numPr>
          <w:ilvl w:val="1"/>
          <w:numId w:val="6"/>
        </w:numPr>
        <w:rPr>
          <w:rFonts w:ascii="Arial" w:hAnsi="Arial" w:cs="Arial"/>
          <w:i/>
          <w:iCs/>
        </w:rPr>
      </w:pPr>
      <w:r w:rsidRPr="00060A1E">
        <w:rPr>
          <w:rFonts w:ascii="Arial" w:hAnsi="Arial" w:cs="Arial"/>
          <w:i/>
          <w:iCs/>
        </w:rPr>
        <w:t>Self-control</w:t>
      </w:r>
    </w:p>
    <w:p w14:paraId="69CD9F6B" w14:textId="77777777" w:rsidR="00060A1E" w:rsidRPr="00060A1E" w:rsidRDefault="00060A1E" w:rsidP="00060A1E">
      <w:pPr>
        <w:numPr>
          <w:ilvl w:val="1"/>
          <w:numId w:val="6"/>
        </w:numPr>
        <w:rPr>
          <w:rFonts w:ascii="Arial" w:hAnsi="Arial" w:cs="Arial"/>
          <w:i/>
          <w:iCs/>
        </w:rPr>
      </w:pPr>
      <w:r w:rsidRPr="00060A1E">
        <w:rPr>
          <w:rFonts w:ascii="Arial" w:hAnsi="Arial" w:cs="Arial"/>
          <w:i/>
          <w:iCs/>
        </w:rPr>
        <w:t>Gratitude</w:t>
      </w:r>
    </w:p>
    <w:p w14:paraId="1069B73F" w14:textId="77777777" w:rsidR="00060A1E" w:rsidRPr="00060A1E" w:rsidRDefault="00060A1E" w:rsidP="00060A1E">
      <w:pPr>
        <w:numPr>
          <w:ilvl w:val="1"/>
          <w:numId w:val="6"/>
        </w:numPr>
        <w:rPr>
          <w:rFonts w:ascii="Arial" w:hAnsi="Arial" w:cs="Arial"/>
          <w:i/>
          <w:iCs/>
        </w:rPr>
      </w:pPr>
      <w:r w:rsidRPr="00060A1E">
        <w:rPr>
          <w:rFonts w:ascii="Arial" w:hAnsi="Arial" w:cs="Arial"/>
          <w:i/>
          <w:iCs/>
        </w:rPr>
        <w:t>Faith as a protective factor</w:t>
      </w:r>
    </w:p>
    <w:p w14:paraId="414811C6" w14:textId="77777777" w:rsidR="00D15BD5" w:rsidRPr="00565065" w:rsidRDefault="00D15BD5">
      <w:pPr>
        <w:rPr>
          <w:rFonts w:ascii="Arial" w:hAnsi="Arial" w:cs="Arial"/>
          <w:i/>
          <w:iCs/>
        </w:rPr>
      </w:pPr>
    </w:p>
    <w:sectPr w:rsidR="00D15BD5" w:rsidRPr="00565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4316"/>
    <w:multiLevelType w:val="multilevel"/>
    <w:tmpl w:val="E6A4AC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45DA"/>
    <w:multiLevelType w:val="multilevel"/>
    <w:tmpl w:val="F58A4C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17DD1"/>
    <w:multiLevelType w:val="multilevel"/>
    <w:tmpl w:val="3C947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E5281"/>
    <w:multiLevelType w:val="multilevel"/>
    <w:tmpl w:val="BEB255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64222"/>
    <w:multiLevelType w:val="multilevel"/>
    <w:tmpl w:val="AFD62F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A77CC"/>
    <w:multiLevelType w:val="multilevel"/>
    <w:tmpl w:val="222680CA"/>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KxNDUxMTY3NTA3MDJS0lEKTi0uzszPAykwrAUAoxFIGiwAAAA="/>
  </w:docVars>
  <w:rsids>
    <w:rsidRoot w:val="00060A1E"/>
    <w:rsid w:val="00060A1E"/>
    <w:rsid w:val="00565065"/>
    <w:rsid w:val="00D15BD5"/>
    <w:rsid w:val="00DC0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C635"/>
  <w15:chartTrackingRefBased/>
  <w15:docId w15:val="{829264B8-7AD0-4AA2-868F-3A2E8FF5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08792">
      <w:bodyDiv w:val="1"/>
      <w:marLeft w:val="0"/>
      <w:marRight w:val="0"/>
      <w:marTop w:val="0"/>
      <w:marBottom w:val="0"/>
      <w:divBdr>
        <w:top w:val="none" w:sz="0" w:space="0" w:color="auto"/>
        <w:left w:val="none" w:sz="0" w:space="0" w:color="auto"/>
        <w:bottom w:val="none" w:sz="0" w:space="0" w:color="auto"/>
        <w:right w:val="none" w:sz="0" w:space="0" w:color="auto"/>
      </w:divBdr>
      <w:divsChild>
        <w:div w:id="873814660">
          <w:marLeft w:val="0"/>
          <w:marRight w:val="0"/>
          <w:marTop w:val="0"/>
          <w:marBottom w:val="0"/>
          <w:divBdr>
            <w:top w:val="none" w:sz="0" w:space="0" w:color="auto"/>
            <w:left w:val="none" w:sz="0" w:space="0" w:color="auto"/>
            <w:bottom w:val="none" w:sz="0" w:space="0" w:color="auto"/>
            <w:right w:val="none" w:sz="0" w:space="0" w:color="auto"/>
          </w:divBdr>
        </w:div>
        <w:div w:id="541984189">
          <w:marLeft w:val="0"/>
          <w:marRight w:val="0"/>
          <w:marTop w:val="0"/>
          <w:marBottom w:val="0"/>
          <w:divBdr>
            <w:top w:val="none" w:sz="0" w:space="0" w:color="auto"/>
            <w:left w:val="none" w:sz="0" w:space="0" w:color="auto"/>
            <w:bottom w:val="none" w:sz="0" w:space="0" w:color="auto"/>
            <w:right w:val="none" w:sz="0" w:space="0" w:color="auto"/>
          </w:divBdr>
        </w:div>
        <w:div w:id="1050690442">
          <w:marLeft w:val="0"/>
          <w:marRight w:val="0"/>
          <w:marTop w:val="0"/>
          <w:marBottom w:val="0"/>
          <w:divBdr>
            <w:top w:val="none" w:sz="0" w:space="0" w:color="auto"/>
            <w:left w:val="none" w:sz="0" w:space="0" w:color="auto"/>
            <w:bottom w:val="none" w:sz="0" w:space="0" w:color="auto"/>
            <w:right w:val="none" w:sz="0" w:space="0" w:color="auto"/>
          </w:divBdr>
        </w:div>
        <w:div w:id="793330669">
          <w:marLeft w:val="0"/>
          <w:marRight w:val="0"/>
          <w:marTop w:val="0"/>
          <w:marBottom w:val="0"/>
          <w:divBdr>
            <w:top w:val="none" w:sz="0" w:space="0" w:color="auto"/>
            <w:left w:val="none" w:sz="0" w:space="0" w:color="auto"/>
            <w:bottom w:val="none" w:sz="0" w:space="0" w:color="auto"/>
            <w:right w:val="none" w:sz="0" w:space="0" w:color="auto"/>
          </w:divBdr>
        </w:div>
        <w:div w:id="1730761960">
          <w:marLeft w:val="0"/>
          <w:marRight w:val="0"/>
          <w:marTop w:val="0"/>
          <w:marBottom w:val="0"/>
          <w:divBdr>
            <w:top w:val="none" w:sz="0" w:space="0" w:color="auto"/>
            <w:left w:val="none" w:sz="0" w:space="0" w:color="auto"/>
            <w:bottom w:val="none" w:sz="0" w:space="0" w:color="auto"/>
            <w:right w:val="none" w:sz="0" w:space="0" w:color="auto"/>
          </w:divBdr>
        </w:div>
        <w:div w:id="1984385369">
          <w:marLeft w:val="0"/>
          <w:marRight w:val="0"/>
          <w:marTop w:val="0"/>
          <w:marBottom w:val="0"/>
          <w:divBdr>
            <w:top w:val="none" w:sz="0" w:space="0" w:color="auto"/>
            <w:left w:val="none" w:sz="0" w:space="0" w:color="auto"/>
            <w:bottom w:val="none" w:sz="0" w:space="0" w:color="auto"/>
            <w:right w:val="none" w:sz="0" w:space="0" w:color="auto"/>
          </w:divBdr>
        </w:div>
        <w:div w:id="1614557076">
          <w:marLeft w:val="0"/>
          <w:marRight w:val="0"/>
          <w:marTop w:val="0"/>
          <w:marBottom w:val="0"/>
          <w:divBdr>
            <w:top w:val="none" w:sz="0" w:space="0" w:color="auto"/>
            <w:left w:val="none" w:sz="0" w:space="0" w:color="auto"/>
            <w:bottom w:val="none" w:sz="0" w:space="0" w:color="auto"/>
            <w:right w:val="none" w:sz="0" w:space="0" w:color="auto"/>
          </w:divBdr>
        </w:div>
        <w:div w:id="1237125865">
          <w:marLeft w:val="0"/>
          <w:marRight w:val="0"/>
          <w:marTop w:val="0"/>
          <w:marBottom w:val="0"/>
          <w:divBdr>
            <w:top w:val="none" w:sz="0" w:space="0" w:color="auto"/>
            <w:left w:val="none" w:sz="0" w:space="0" w:color="auto"/>
            <w:bottom w:val="none" w:sz="0" w:space="0" w:color="auto"/>
            <w:right w:val="none" w:sz="0" w:space="0" w:color="auto"/>
          </w:divBdr>
        </w:div>
        <w:div w:id="985742708">
          <w:marLeft w:val="0"/>
          <w:marRight w:val="0"/>
          <w:marTop w:val="0"/>
          <w:marBottom w:val="0"/>
          <w:divBdr>
            <w:top w:val="none" w:sz="0" w:space="0" w:color="auto"/>
            <w:left w:val="none" w:sz="0" w:space="0" w:color="auto"/>
            <w:bottom w:val="none" w:sz="0" w:space="0" w:color="auto"/>
            <w:right w:val="none" w:sz="0" w:space="0" w:color="auto"/>
          </w:divBdr>
        </w:div>
        <w:div w:id="930241691">
          <w:marLeft w:val="0"/>
          <w:marRight w:val="0"/>
          <w:marTop w:val="0"/>
          <w:marBottom w:val="0"/>
          <w:divBdr>
            <w:top w:val="none" w:sz="0" w:space="0" w:color="auto"/>
            <w:left w:val="none" w:sz="0" w:space="0" w:color="auto"/>
            <w:bottom w:val="none" w:sz="0" w:space="0" w:color="auto"/>
            <w:right w:val="none" w:sz="0" w:space="0" w:color="auto"/>
          </w:divBdr>
        </w:div>
        <w:div w:id="71697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2022-03-23T07:50:00Z</dcterms:created>
  <dcterms:modified xsi:type="dcterms:W3CDTF">2022-03-23T07:52:00Z</dcterms:modified>
</cp:coreProperties>
</file>