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5DDC" w14:textId="26CE5D50" w:rsidR="00D15BD5" w:rsidRPr="0007309B" w:rsidRDefault="0071274D">
      <w:pPr>
        <w:rPr>
          <w:rFonts w:ascii="Arial" w:hAnsi="Arial" w:cs="Arial"/>
          <w:i/>
          <w:iCs/>
        </w:rPr>
      </w:pPr>
      <w:r w:rsidRPr="0007309B">
        <w:rPr>
          <w:rFonts w:ascii="Arial" w:hAnsi="Arial" w:cs="Arial"/>
          <w:i/>
          <w:iCs/>
        </w:rPr>
        <w:t> Explain the FORMALIST, ORIGINALIST, AND REALIST views of legal interpretation. Explain what each view of interpretation would say about each of the following judicial decisions: (</w:t>
      </w:r>
      <w:proofErr w:type="spellStart"/>
      <w:r w:rsidRPr="0007309B">
        <w:rPr>
          <w:rFonts w:ascii="Arial" w:hAnsi="Arial" w:cs="Arial"/>
          <w:i/>
          <w:iCs/>
        </w:rPr>
        <w:t>i</w:t>
      </w:r>
      <w:proofErr w:type="spellEnd"/>
      <w:r w:rsidRPr="0007309B">
        <w:rPr>
          <w:rFonts w:ascii="Arial" w:hAnsi="Arial" w:cs="Arial"/>
          <w:i/>
          <w:iCs/>
        </w:rPr>
        <w:t>) the death penalty as administered before Furman v. Georgia was unconstitutional because administered arbitrarily; (ii) Smith in Smith v. United States was guilty of using a firearm while drug trafficking; (iii) the mining claims at issue in United States v. Locke were turned in late, and so the claims were forfeited. Which theory of interpretation, in light of the foregoing discussion, is most plausible?</w:t>
      </w:r>
    </w:p>
    <w:sectPr w:rsidR="00D15BD5" w:rsidRPr="00073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I2MTE0NTcyNzIxtzRW0lEKTi0uzszPAykwrAUA0CE2QywAAAA="/>
  </w:docVars>
  <w:rsids>
    <w:rsidRoot w:val="0071274D"/>
    <w:rsid w:val="0007309B"/>
    <w:rsid w:val="0071274D"/>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472C"/>
  <w15:chartTrackingRefBased/>
  <w15:docId w15:val="{E79BE1CC-A9F0-42D5-B765-7CE3CF7D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2022-03-21T13:49:00Z</dcterms:created>
  <dcterms:modified xsi:type="dcterms:W3CDTF">2022-03-21T13:49:00Z</dcterms:modified>
</cp:coreProperties>
</file>