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FA207" w14:textId="30FF0613" w:rsidR="00D15BD5" w:rsidRPr="00B045AC" w:rsidRDefault="00560352">
      <w:pPr>
        <w:rPr>
          <w:rFonts w:ascii="Arial" w:hAnsi="Arial" w:cs="Arial"/>
          <w:i/>
          <w:iCs/>
        </w:rPr>
      </w:pPr>
      <w:r w:rsidRPr="00B045AC">
        <w:rPr>
          <w:rFonts w:ascii="Arial" w:hAnsi="Arial" w:cs="Arial"/>
          <w:i/>
          <w:iCs/>
        </w:rPr>
        <w:t>To what extent did the First Tax Registration Concession of EV changes in HK that was imposed in 2017 affected the negative externalities caused by diesel/petrol vehicles</w:t>
      </w:r>
    </w:p>
    <w:sectPr w:rsidR="00D15BD5" w:rsidRPr="00B045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I1NzU1sDQ2NzW2sDRQ0lEKTi0uzszPAykwrAUAv8hCqywAAAA="/>
  </w:docVars>
  <w:rsids>
    <w:rsidRoot w:val="00560352"/>
    <w:rsid w:val="00560352"/>
    <w:rsid w:val="00B045AC"/>
    <w:rsid w:val="00D1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D4CC9"/>
  <w15:chartTrackingRefBased/>
  <w15:docId w15:val="{91CFCA81-807B-4C88-AC6D-07916E177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2</cp:revision>
  <dcterms:created xsi:type="dcterms:W3CDTF">2022-03-24T06:05:00Z</dcterms:created>
  <dcterms:modified xsi:type="dcterms:W3CDTF">2022-03-24T06:05:00Z</dcterms:modified>
</cp:coreProperties>
</file>