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F0C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 xml:space="preserve">1.    Discuss how a well-designed corporate structure facilitates good corporate </w:t>
      </w:r>
      <w:proofErr w:type="spellStart"/>
      <w:r w:rsidRPr="00880C95">
        <w:rPr>
          <w:rFonts w:ascii="Arial" w:hAnsi="Arial" w:cs="Arial"/>
          <w:i/>
          <w:iCs/>
          <w:sz w:val="24"/>
          <w:szCs w:val="24"/>
        </w:rPr>
        <w:t>behavior</w:t>
      </w:r>
      <w:proofErr w:type="spellEnd"/>
      <w:r w:rsidRPr="00880C95">
        <w:rPr>
          <w:rFonts w:ascii="Arial" w:hAnsi="Arial" w:cs="Arial"/>
          <w:i/>
          <w:iCs/>
          <w:sz w:val="24"/>
          <w:szCs w:val="24"/>
        </w:rPr>
        <w:t>. </w:t>
      </w:r>
    </w:p>
    <w:p w14:paraId="090854DB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2.    Identify one benefit or value corporate compliance provides to patient care. </w:t>
      </w:r>
    </w:p>
    <w:p w14:paraId="1FAC12B4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3.    Discuss the role of the corporate compliance officer. </w:t>
      </w:r>
    </w:p>
    <w:p w14:paraId="27563F43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4.    Discuss structure of a hospital's governing body. </w:t>
      </w:r>
    </w:p>
    <w:p w14:paraId="32C5A5D6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5.    Describe the business corporation law relevant to the formation of a not-for-profit. </w:t>
      </w:r>
    </w:p>
    <w:p w14:paraId="6377DAEE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6.    Explain whether it is appropriate for the general counsel of the hospital to also play the role of the corporate compliance officer. </w:t>
      </w:r>
    </w:p>
    <w:p w14:paraId="0816D4A6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7.    Discuss the circumstances in which a hospital should be held responsible for the negligent acts of a staff physician.</w:t>
      </w:r>
    </w:p>
    <w:p w14:paraId="6EE8A544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 </w:t>
      </w:r>
    </w:p>
    <w:p w14:paraId="6E190E0C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523CD560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Health Care Compliance Association. (2017, January 17). Measuring compliance program effectiveness: A resource guide. https://assets.hcca-info.org/Portals/0/PDFs/Resources/ResourceOverview/oig-hcca-roundtable.pdf?ver=2017-03-28-062709-153</w:t>
      </w:r>
    </w:p>
    <w:p w14:paraId="02D296D3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 </w:t>
      </w:r>
    </w:p>
    <w:p w14:paraId="63F0D30C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Gordon, S. D. (2018). Implementation of effective compliance and ethics programs and the federal sentencing guidelines. In C. A. Myers &amp; K.T. Williford (Eds.), Corporate compliance answer book (2018 ed., pp. 2-1– 2-33). Practicing Law Institute. https://drive.google.com/file/d/12RrWP5WQHhrmew8pO-VeWx57Tuf_pbAc/view?usp=sharing</w:t>
      </w:r>
    </w:p>
    <w:p w14:paraId="28DD6E9F" w14:textId="77777777" w:rsidR="00880C95" w:rsidRPr="00880C95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 </w:t>
      </w:r>
    </w:p>
    <w:p w14:paraId="60008476" w14:textId="7C691C9A" w:rsidR="00D15BD5" w:rsidRPr="00CD0B62" w:rsidRDefault="00880C95" w:rsidP="00CD0B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880C95">
        <w:rPr>
          <w:rFonts w:ascii="Arial" w:hAnsi="Arial" w:cs="Arial"/>
          <w:i/>
          <w:iCs/>
          <w:sz w:val="24"/>
          <w:szCs w:val="24"/>
        </w:rPr>
        <w:t>https://regs.health.ny.gov/content/section-4052-governing-body </w:t>
      </w:r>
    </w:p>
    <w:sectPr w:rsidR="00D15BD5" w:rsidRPr="00CD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szQ0MTE2sjA3MzVX0lEKTi0uzszPAykwrAUAw4U+ZSwAAAA="/>
  </w:docVars>
  <w:rsids>
    <w:rsidRoot w:val="00880C95"/>
    <w:rsid w:val="00880C95"/>
    <w:rsid w:val="00CD0B6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A255"/>
  <w15:chartTrackingRefBased/>
  <w15:docId w15:val="{2B7B88A3-DDF0-434D-A3D8-E348FC4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2022-03-14T22:05:00Z</dcterms:created>
  <dcterms:modified xsi:type="dcterms:W3CDTF">2022-03-14T22:06:00Z</dcterms:modified>
</cp:coreProperties>
</file>