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7A" w:rsidRPr="00DA447A" w:rsidRDefault="00DA447A" w:rsidP="00DA447A">
      <w:pPr>
        <w:spacing w:after="100" w:afterAutospacing="1" w:line="240" w:lineRule="auto"/>
        <w:outlineLvl w:val="4"/>
        <w:rPr>
          <w:rFonts w:ascii="Segoe UI" w:eastAsia="Times New Roman" w:hAnsi="Segoe UI" w:cs="Segoe UI"/>
          <w:color w:val="444444"/>
          <w:spacing w:val="2"/>
          <w:sz w:val="20"/>
          <w:szCs w:val="20"/>
        </w:rPr>
      </w:pPr>
      <w:r w:rsidRPr="00DA447A">
        <w:rPr>
          <w:rFonts w:ascii="Segoe UI" w:eastAsia="Times New Roman" w:hAnsi="Segoe UI" w:cs="Segoe UI"/>
          <w:color w:val="444444"/>
          <w:spacing w:val="2"/>
          <w:sz w:val="20"/>
          <w:szCs w:val="20"/>
        </w:rPr>
        <w:t>Assignment Description:</w:t>
      </w:r>
    </w:p>
    <w:p w:rsidR="00DA447A" w:rsidRPr="00DA447A" w:rsidRDefault="00DA447A" w:rsidP="00DA447A">
      <w:pPr>
        <w:spacing w:after="240" w:line="240" w:lineRule="auto"/>
        <w:rPr>
          <w:rFonts w:ascii="Segoe UI" w:eastAsia="Times New Roman" w:hAnsi="Segoe UI" w:cs="Segoe UI"/>
          <w:color w:val="444444"/>
          <w:spacing w:val="2"/>
          <w:sz w:val="20"/>
          <w:szCs w:val="20"/>
        </w:rPr>
      </w:pPr>
      <w:r w:rsidRPr="00DA447A">
        <w:rPr>
          <w:rFonts w:ascii="Segoe UI" w:eastAsia="Times New Roman" w:hAnsi="Segoe UI" w:cs="Segoe UI"/>
          <w:color w:val="444444"/>
          <w:spacing w:val="2"/>
          <w:sz w:val="20"/>
          <w:szCs w:val="20"/>
        </w:rPr>
        <w:t>Write a 1500-2000 word essay addressing each of the following points/questions. Be sure to completely answer all the questions for each bullet point. Separate each section in your paper with a clear heading that allows your professor to know which bullet you are addressing in that section of your paper. Support your ideas with at least five (5) sources in your essay. Make sure to reference the citations using the APA writing style for the essay. The cover page and reference page do not count towards the minimum word amount. Review the rubric criteria for this assignment.</w:t>
      </w:r>
    </w:p>
    <w:p w:rsidR="00DA447A" w:rsidRPr="00DA447A" w:rsidRDefault="00DA447A" w:rsidP="00DA447A">
      <w:pPr>
        <w:spacing w:after="240" w:line="240" w:lineRule="auto"/>
        <w:rPr>
          <w:rFonts w:ascii="Segoe UI" w:eastAsia="Times New Roman" w:hAnsi="Segoe UI" w:cs="Segoe UI"/>
          <w:color w:val="444444"/>
          <w:spacing w:val="2"/>
          <w:sz w:val="20"/>
          <w:szCs w:val="20"/>
        </w:rPr>
      </w:pPr>
      <w:r w:rsidRPr="00DA447A">
        <w:rPr>
          <w:rFonts w:ascii="Segoe UI" w:eastAsia="Times New Roman" w:hAnsi="Segoe UI" w:cs="Segoe UI"/>
          <w:color w:val="444444"/>
          <w:spacing w:val="2"/>
          <w:sz w:val="20"/>
          <w:szCs w:val="20"/>
        </w:rPr>
        <w:t>Write a 1500-2000 word paper, adhering to APA format on the following topics, using at least five references synthesized into your discussion:</w:t>
      </w:r>
    </w:p>
    <w:p w:rsidR="00DA447A" w:rsidRPr="00DA447A" w:rsidRDefault="00DA447A" w:rsidP="00DA447A">
      <w:pPr>
        <w:spacing w:after="240" w:line="240" w:lineRule="auto"/>
        <w:rPr>
          <w:rFonts w:ascii="Segoe UI" w:eastAsia="Times New Roman" w:hAnsi="Segoe UI" w:cs="Segoe UI"/>
          <w:color w:val="444444"/>
          <w:spacing w:val="2"/>
          <w:sz w:val="20"/>
          <w:szCs w:val="20"/>
        </w:rPr>
      </w:pPr>
      <w:r w:rsidRPr="00DA447A">
        <w:rPr>
          <w:rFonts w:ascii="Segoe UI" w:eastAsia="Times New Roman" w:hAnsi="Segoe UI" w:cs="Segoe UI"/>
          <w:color w:val="444444"/>
          <w:spacing w:val="2"/>
          <w:sz w:val="20"/>
          <w:szCs w:val="20"/>
        </w:rPr>
        <w:t>After completing reading the assigned chapters and viewing the course resources create an essay covering the following topics:</w:t>
      </w:r>
    </w:p>
    <w:p w:rsidR="00DA447A" w:rsidRPr="00DA447A" w:rsidRDefault="00DA447A" w:rsidP="00DA447A">
      <w:pPr>
        <w:spacing w:after="240" w:line="240" w:lineRule="auto"/>
        <w:rPr>
          <w:rFonts w:ascii="Segoe UI" w:eastAsia="Times New Roman" w:hAnsi="Segoe UI" w:cs="Segoe UI"/>
          <w:color w:val="444444"/>
          <w:spacing w:val="2"/>
          <w:sz w:val="20"/>
          <w:szCs w:val="20"/>
        </w:rPr>
      </w:pPr>
      <w:r w:rsidRPr="00DA447A">
        <w:rPr>
          <w:rFonts w:ascii="Segoe UI" w:eastAsia="Times New Roman" w:hAnsi="Segoe UI" w:cs="Segoe UI"/>
          <w:color w:val="444444"/>
          <w:spacing w:val="2"/>
          <w:sz w:val="20"/>
          <w:szCs w:val="20"/>
        </w:rPr>
        <w:t>1. What is the current evidence regarding the use of learning style inventories? Describe how you might utilize such tools in your teaching approach in order to creatively develop your approach to student education</w:t>
      </w:r>
      <w:r w:rsidRPr="00DA447A">
        <w:rPr>
          <w:rFonts w:ascii="Segoe UI" w:eastAsia="Times New Roman" w:hAnsi="Segoe UI" w:cs="Segoe UI"/>
          <w:color w:val="444444"/>
          <w:spacing w:val="2"/>
          <w:sz w:val="20"/>
          <w:szCs w:val="20"/>
        </w:rPr>
        <w:br/>
        <w:t>2. Identify and discuss at least two different types of diverse student populations and how would you adapt your approach to meet these particular learning needs?</w:t>
      </w:r>
      <w:r w:rsidRPr="00DA447A">
        <w:rPr>
          <w:rFonts w:ascii="Segoe UI" w:eastAsia="Times New Roman" w:hAnsi="Segoe UI" w:cs="Segoe UI"/>
          <w:color w:val="444444"/>
          <w:spacing w:val="2"/>
          <w:sz w:val="20"/>
          <w:szCs w:val="20"/>
        </w:rPr>
        <w:br/>
        <w:t>3. What are several strategies (minimum three) that affect students’ readiness to learn and what strategies can be implemented to overcome barriers to motivation across all adult learner populations?</w:t>
      </w:r>
      <w:r w:rsidRPr="00DA447A">
        <w:rPr>
          <w:rFonts w:ascii="Segoe UI" w:eastAsia="Times New Roman" w:hAnsi="Segoe UI" w:cs="Segoe UI"/>
          <w:color w:val="444444"/>
          <w:spacing w:val="2"/>
          <w:sz w:val="20"/>
          <w:szCs w:val="20"/>
        </w:rPr>
        <w:br/>
        <w:t>4. How does the Americans with Disability Act ADA affect teaching and learning in higher education and what are some strategies you may need to incorporate into your teaching/learning plans to meet the needs of a learner with special ADA needs?</w:t>
      </w:r>
    </w:p>
    <w:p w:rsidR="00DA447A" w:rsidRPr="00DA447A" w:rsidRDefault="00DA447A" w:rsidP="00DA447A">
      <w:pPr>
        <w:shd w:val="clear" w:color="auto" w:fill="FFFFFF"/>
        <w:spacing w:after="100" w:afterAutospacing="1" w:line="240" w:lineRule="auto"/>
        <w:outlineLvl w:val="1"/>
        <w:rPr>
          <w:rFonts w:ascii="Segoe UI" w:eastAsia="Times New Roman" w:hAnsi="Segoe UI" w:cs="Segoe UI"/>
          <w:color w:val="444444"/>
          <w:spacing w:val="2"/>
          <w:sz w:val="36"/>
          <w:szCs w:val="36"/>
        </w:rPr>
      </w:pPr>
      <w:r w:rsidRPr="00DA447A">
        <w:rPr>
          <w:rFonts w:ascii="Segoe UI" w:eastAsia="Times New Roman" w:hAnsi="Segoe UI" w:cs="Segoe UI"/>
          <w:color w:val="3D5576"/>
          <w:spacing w:val="2"/>
          <w:sz w:val="36"/>
          <w:szCs w:val="36"/>
        </w:rPr>
        <w:t> Learning Materials</w:t>
      </w:r>
    </w:p>
    <w:p w:rsidR="00DA447A" w:rsidRPr="00DA447A" w:rsidRDefault="00DA447A" w:rsidP="00DA447A">
      <w:pPr>
        <w:shd w:val="clear" w:color="auto" w:fill="FFFFFF"/>
        <w:spacing w:after="100" w:afterAutospacing="1" w:line="240" w:lineRule="auto"/>
        <w:outlineLvl w:val="2"/>
        <w:rPr>
          <w:rFonts w:ascii="Segoe UI" w:eastAsia="Times New Roman" w:hAnsi="Segoe UI" w:cs="Segoe UI"/>
          <w:color w:val="444444"/>
          <w:spacing w:val="2"/>
          <w:sz w:val="27"/>
          <w:szCs w:val="27"/>
        </w:rPr>
      </w:pPr>
      <w:r w:rsidRPr="00DA447A">
        <w:rPr>
          <w:rFonts w:ascii="Segoe UI" w:eastAsia="Times New Roman" w:hAnsi="Segoe UI" w:cs="Segoe UI"/>
          <w:color w:val="444444"/>
          <w:spacing w:val="2"/>
          <w:sz w:val="27"/>
          <w:szCs w:val="27"/>
        </w:rPr>
        <w:t>Required Resources: </w:t>
      </w:r>
    </w:p>
    <w:p w:rsidR="00DA447A" w:rsidRPr="00DA447A" w:rsidRDefault="00DA447A" w:rsidP="00DA447A">
      <w:pPr>
        <w:numPr>
          <w:ilvl w:val="0"/>
          <w:numId w:val="3"/>
        </w:numPr>
        <w:shd w:val="clear" w:color="auto" w:fill="FFFFFF"/>
        <w:spacing w:before="100" w:beforeAutospacing="1" w:after="100" w:afterAutospacing="1" w:line="240" w:lineRule="auto"/>
        <w:rPr>
          <w:rFonts w:ascii="Segoe UI" w:eastAsia="Times New Roman" w:hAnsi="Segoe UI" w:cs="Segoe UI"/>
          <w:color w:val="444444"/>
          <w:spacing w:val="2"/>
          <w:sz w:val="20"/>
          <w:szCs w:val="20"/>
        </w:rPr>
      </w:pPr>
      <w:r w:rsidRPr="00DA447A">
        <w:rPr>
          <w:rFonts w:ascii="Segoe UI" w:eastAsia="Times New Roman" w:hAnsi="Segoe UI" w:cs="Segoe UI"/>
          <w:color w:val="444444"/>
          <w:spacing w:val="2"/>
          <w:sz w:val="20"/>
          <w:szCs w:val="20"/>
        </w:rPr>
        <w:t>Billings, D.M., &amp; Halstead, J.A., (2020). </w:t>
      </w:r>
      <w:r w:rsidRPr="00DA447A">
        <w:rPr>
          <w:rFonts w:ascii="Segoe UI" w:eastAsia="Times New Roman" w:hAnsi="Segoe UI" w:cs="Segoe UI"/>
          <w:i/>
          <w:iCs/>
          <w:color w:val="444444"/>
          <w:spacing w:val="2"/>
          <w:sz w:val="20"/>
          <w:szCs w:val="20"/>
        </w:rPr>
        <w:t>Teaching in Nursing e-book</w:t>
      </w:r>
      <w:r w:rsidRPr="00DA447A">
        <w:rPr>
          <w:rFonts w:ascii="Segoe UI" w:eastAsia="Times New Roman" w:hAnsi="Segoe UI" w:cs="Segoe UI"/>
          <w:color w:val="444444"/>
          <w:spacing w:val="2"/>
          <w:sz w:val="20"/>
          <w:szCs w:val="20"/>
        </w:rPr>
        <w:t> (6th ed.). Saunders. ISBN: 9780323570374. Read Chapters 2, 3, &amp; 4.</w:t>
      </w:r>
    </w:p>
    <w:p w:rsidR="00DA447A" w:rsidRPr="00DA447A" w:rsidRDefault="00DA447A" w:rsidP="00DA447A">
      <w:pPr>
        <w:shd w:val="clear" w:color="auto" w:fill="FFFFFF"/>
        <w:spacing w:after="100" w:afterAutospacing="1" w:line="240" w:lineRule="auto"/>
        <w:outlineLvl w:val="2"/>
        <w:rPr>
          <w:rFonts w:ascii="Segoe UI" w:eastAsia="Times New Roman" w:hAnsi="Segoe UI" w:cs="Segoe UI"/>
          <w:color w:val="444444"/>
          <w:spacing w:val="2"/>
          <w:sz w:val="27"/>
          <w:szCs w:val="27"/>
        </w:rPr>
      </w:pPr>
      <w:r w:rsidRPr="00DA447A">
        <w:rPr>
          <w:rFonts w:ascii="Segoe UI" w:eastAsia="Times New Roman" w:hAnsi="Segoe UI" w:cs="Segoe UI"/>
          <w:color w:val="444444"/>
          <w:spacing w:val="2"/>
          <w:sz w:val="27"/>
          <w:szCs w:val="27"/>
        </w:rPr>
        <w:t>Additional Resources: </w:t>
      </w:r>
    </w:p>
    <w:p w:rsidR="00DA447A" w:rsidRPr="00DA447A" w:rsidRDefault="00DA447A" w:rsidP="00DA447A">
      <w:pPr>
        <w:numPr>
          <w:ilvl w:val="0"/>
          <w:numId w:val="4"/>
        </w:numPr>
        <w:shd w:val="clear" w:color="auto" w:fill="FFFFFF"/>
        <w:spacing w:after="240" w:line="240" w:lineRule="auto"/>
        <w:rPr>
          <w:rFonts w:ascii="Segoe UI" w:eastAsia="Times New Roman" w:hAnsi="Segoe UI" w:cs="Segoe UI"/>
          <w:color w:val="444444"/>
          <w:spacing w:val="2"/>
          <w:sz w:val="20"/>
          <w:szCs w:val="20"/>
        </w:rPr>
      </w:pPr>
      <w:r w:rsidRPr="00DA447A">
        <w:rPr>
          <w:rFonts w:ascii="Segoe UI" w:eastAsia="Times New Roman" w:hAnsi="Segoe UI" w:cs="Segoe UI"/>
          <w:color w:val="444444"/>
          <w:spacing w:val="2"/>
          <w:sz w:val="20"/>
          <w:szCs w:val="20"/>
        </w:rPr>
        <w:t>Macaulay, S., &amp; Cook, S. (2017, March 21). </w:t>
      </w:r>
      <w:hyperlink r:id="rId5" w:tgtFrame="_blank" w:history="1">
        <w:r w:rsidRPr="00DA447A">
          <w:rPr>
            <w:rFonts w:ascii="Segoe UI" w:eastAsia="Times New Roman" w:hAnsi="Segoe UI" w:cs="Segoe UI"/>
            <w:color w:val="2196F3"/>
            <w:spacing w:val="2"/>
            <w:sz w:val="20"/>
            <w:szCs w:val="20"/>
            <w:u w:val="single"/>
          </w:rPr>
          <w:t>Learning development: Across the generations</w:t>
        </w:r>
      </w:hyperlink>
      <w:r w:rsidRPr="00DA447A">
        <w:rPr>
          <w:rFonts w:ascii="Segoe UI" w:eastAsia="Times New Roman" w:hAnsi="Segoe UI" w:cs="Segoe UI"/>
          <w:color w:val="444444"/>
          <w:spacing w:val="2"/>
          <w:sz w:val="20"/>
          <w:szCs w:val="20"/>
        </w:rPr>
        <w:t>. </w:t>
      </w:r>
      <w:r w:rsidRPr="00DA447A">
        <w:rPr>
          <w:rFonts w:ascii="Segoe UI" w:eastAsia="Times New Roman" w:hAnsi="Segoe UI" w:cs="Segoe UI"/>
          <w:i/>
          <w:iCs/>
          <w:color w:val="444444"/>
          <w:spacing w:val="2"/>
          <w:sz w:val="20"/>
          <w:szCs w:val="20"/>
        </w:rPr>
        <w:t>Training Journal</w:t>
      </w:r>
      <w:r w:rsidRPr="00DA447A">
        <w:rPr>
          <w:rFonts w:ascii="Segoe UI" w:eastAsia="Times New Roman" w:hAnsi="Segoe UI" w:cs="Segoe UI"/>
          <w:color w:val="444444"/>
          <w:spacing w:val="2"/>
          <w:sz w:val="20"/>
          <w:szCs w:val="20"/>
        </w:rPr>
        <w:t>. </w:t>
      </w:r>
    </w:p>
    <w:p w:rsidR="00DA447A" w:rsidRPr="00DA447A" w:rsidRDefault="00DA447A" w:rsidP="00DA447A">
      <w:pPr>
        <w:numPr>
          <w:ilvl w:val="0"/>
          <w:numId w:val="4"/>
        </w:numPr>
        <w:shd w:val="clear" w:color="auto" w:fill="FFFFFF"/>
        <w:spacing w:after="240" w:line="240" w:lineRule="auto"/>
        <w:rPr>
          <w:rFonts w:ascii="Segoe UI" w:eastAsia="Times New Roman" w:hAnsi="Segoe UI" w:cs="Segoe UI"/>
          <w:color w:val="444444"/>
          <w:spacing w:val="2"/>
          <w:sz w:val="20"/>
          <w:szCs w:val="20"/>
        </w:rPr>
      </w:pPr>
      <w:r w:rsidRPr="00DA447A">
        <w:rPr>
          <w:rFonts w:ascii="Segoe UI" w:eastAsia="Times New Roman" w:hAnsi="Segoe UI" w:cs="Segoe UI"/>
          <w:color w:val="444444"/>
          <w:spacing w:val="2"/>
          <w:sz w:val="20"/>
          <w:szCs w:val="20"/>
        </w:rPr>
        <w:t>Starlink Professional Development. (2010, May 7). </w:t>
      </w:r>
      <w:hyperlink r:id="rId6" w:history="1">
        <w:r w:rsidRPr="00DA447A">
          <w:rPr>
            <w:rFonts w:ascii="Segoe UI" w:eastAsia="Times New Roman" w:hAnsi="Segoe UI" w:cs="Segoe UI"/>
            <w:i/>
            <w:iCs/>
            <w:color w:val="2196F3"/>
            <w:spacing w:val="2"/>
            <w:sz w:val="20"/>
            <w:szCs w:val="20"/>
            <w:u w:val="single"/>
          </w:rPr>
          <w:t>Learning Styles: Generational Teaching Tips</w:t>
        </w:r>
      </w:hyperlink>
      <w:r w:rsidRPr="00DA447A">
        <w:rPr>
          <w:rFonts w:ascii="Segoe UI" w:eastAsia="Times New Roman" w:hAnsi="Segoe UI" w:cs="Segoe UI"/>
          <w:color w:val="444444"/>
          <w:spacing w:val="2"/>
          <w:sz w:val="20"/>
          <w:szCs w:val="20"/>
        </w:rPr>
        <w:t> [Video]. YouTube. </w:t>
      </w:r>
    </w:p>
    <w:p w:rsidR="00DA447A" w:rsidRPr="00DA447A" w:rsidRDefault="00DA447A" w:rsidP="00DA447A">
      <w:pPr>
        <w:numPr>
          <w:ilvl w:val="0"/>
          <w:numId w:val="4"/>
        </w:numPr>
        <w:shd w:val="clear" w:color="auto" w:fill="FFFFFF"/>
        <w:spacing w:after="240" w:line="240" w:lineRule="auto"/>
        <w:rPr>
          <w:rFonts w:ascii="Segoe UI" w:eastAsia="Times New Roman" w:hAnsi="Segoe UI" w:cs="Segoe UI"/>
          <w:color w:val="444444"/>
          <w:spacing w:val="2"/>
          <w:sz w:val="20"/>
          <w:szCs w:val="20"/>
        </w:rPr>
      </w:pPr>
      <w:r w:rsidRPr="00DA447A">
        <w:rPr>
          <w:rFonts w:ascii="Segoe UI" w:eastAsia="Times New Roman" w:hAnsi="Segoe UI" w:cs="Segoe UI"/>
          <w:color w:val="444444"/>
          <w:spacing w:val="2"/>
          <w:sz w:val="20"/>
          <w:szCs w:val="20"/>
        </w:rPr>
        <w:t>Larson, B. (n.d.). </w:t>
      </w:r>
      <w:hyperlink r:id="rId7" w:tgtFrame="_blank" w:history="1">
        <w:r w:rsidRPr="00DA447A">
          <w:rPr>
            <w:rFonts w:ascii="Segoe UI" w:eastAsia="Times New Roman" w:hAnsi="Segoe UI" w:cs="Segoe UI"/>
            <w:i/>
            <w:iCs/>
            <w:color w:val="2196F3"/>
            <w:spacing w:val="2"/>
            <w:sz w:val="20"/>
            <w:szCs w:val="20"/>
          </w:rPr>
          <w:t>Understanding Generational Differences in Education</w:t>
        </w:r>
      </w:hyperlink>
      <w:r w:rsidRPr="00DA447A">
        <w:rPr>
          <w:rFonts w:ascii="Segoe UI" w:eastAsia="Times New Roman" w:hAnsi="Segoe UI" w:cs="Segoe UI"/>
          <w:color w:val="444444"/>
          <w:spacing w:val="2"/>
          <w:sz w:val="20"/>
          <w:szCs w:val="20"/>
        </w:rPr>
        <w:t>. </w:t>
      </w:r>
    </w:p>
    <w:p w:rsidR="00DA447A" w:rsidRPr="00DA447A" w:rsidRDefault="00DA447A" w:rsidP="00DA447A">
      <w:pPr>
        <w:numPr>
          <w:ilvl w:val="0"/>
          <w:numId w:val="4"/>
        </w:numPr>
        <w:shd w:val="clear" w:color="auto" w:fill="FFFFFF"/>
        <w:spacing w:after="240" w:line="240" w:lineRule="auto"/>
        <w:rPr>
          <w:rFonts w:ascii="Segoe UI" w:eastAsia="Times New Roman" w:hAnsi="Segoe UI" w:cs="Segoe UI"/>
          <w:color w:val="444444"/>
          <w:spacing w:val="2"/>
          <w:sz w:val="20"/>
          <w:szCs w:val="20"/>
        </w:rPr>
      </w:pPr>
      <w:r w:rsidRPr="00DA447A">
        <w:rPr>
          <w:rFonts w:ascii="Segoe UI" w:eastAsia="Times New Roman" w:hAnsi="Segoe UI" w:cs="Segoe UI"/>
          <w:color w:val="444444"/>
          <w:spacing w:val="2"/>
          <w:sz w:val="20"/>
          <w:szCs w:val="20"/>
        </w:rPr>
        <w:t>Health Professionals Advancing LGBTQ Equality. (n.d.) </w:t>
      </w:r>
      <w:hyperlink r:id="rId8" w:tgtFrame="_blank" w:history="1">
        <w:r w:rsidRPr="00DA447A">
          <w:rPr>
            <w:rFonts w:ascii="Segoe UI" w:eastAsia="Times New Roman" w:hAnsi="Segoe UI" w:cs="Segoe UI"/>
            <w:i/>
            <w:iCs/>
            <w:color w:val="2196F3"/>
            <w:spacing w:val="2"/>
            <w:sz w:val="20"/>
            <w:szCs w:val="20"/>
          </w:rPr>
          <w:t>Resources</w:t>
        </w:r>
      </w:hyperlink>
      <w:r w:rsidRPr="00DA447A">
        <w:rPr>
          <w:rFonts w:ascii="Segoe UI" w:eastAsia="Times New Roman" w:hAnsi="Segoe UI" w:cs="Segoe UI"/>
          <w:color w:val="444444"/>
          <w:spacing w:val="2"/>
          <w:sz w:val="20"/>
          <w:szCs w:val="20"/>
        </w:rPr>
        <w:t>. </w:t>
      </w:r>
    </w:p>
    <w:p w:rsidR="00DA447A" w:rsidRPr="00DA447A" w:rsidRDefault="00DA447A" w:rsidP="00DA447A">
      <w:pPr>
        <w:numPr>
          <w:ilvl w:val="0"/>
          <w:numId w:val="4"/>
        </w:numPr>
        <w:shd w:val="clear" w:color="auto" w:fill="FFFFFF"/>
        <w:spacing w:after="240" w:line="240" w:lineRule="auto"/>
        <w:rPr>
          <w:rFonts w:ascii="Segoe UI" w:eastAsia="Times New Roman" w:hAnsi="Segoe UI" w:cs="Segoe UI"/>
          <w:color w:val="444444"/>
          <w:spacing w:val="2"/>
          <w:sz w:val="20"/>
          <w:szCs w:val="20"/>
        </w:rPr>
      </w:pPr>
      <w:r w:rsidRPr="00DA447A">
        <w:rPr>
          <w:rFonts w:ascii="Segoe UI" w:eastAsia="Times New Roman" w:hAnsi="Segoe UI" w:cs="Segoe UI"/>
          <w:color w:val="444444"/>
          <w:spacing w:val="2"/>
          <w:sz w:val="20"/>
          <w:szCs w:val="20"/>
        </w:rPr>
        <w:t>ADA National Network. (2020, November). </w:t>
      </w:r>
      <w:hyperlink r:id="rId9" w:tgtFrame="_blank" w:history="1">
        <w:r w:rsidRPr="00DA447A">
          <w:rPr>
            <w:rFonts w:ascii="Segoe UI" w:eastAsia="Times New Roman" w:hAnsi="Segoe UI" w:cs="Segoe UI"/>
            <w:i/>
            <w:iCs/>
            <w:color w:val="2196F3"/>
            <w:spacing w:val="2"/>
            <w:sz w:val="20"/>
            <w:szCs w:val="20"/>
          </w:rPr>
          <w:t>What are a public or private college-university’s responsibilities to students with disabilities?</w:t>
        </w:r>
      </w:hyperlink>
      <w:r w:rsidRPr="00DA447A">
        <w:rPr>
          <w:rFonts w:ascii="Segoe UI" w:eastAsia="Times New Roman" w:hAnsi="Segoe UI" w:cs="Segoe UI"/>
          <w:color w:val="444444"/>
          <w:spacing w:val="2"/>
          <w:sz w:val="20"/>
          <w:szCs w:val="20"/>
        </w:rPr>
        <w:t> </w:t>
      </w:r>
    </w:p>
    <w:p w:rsidR="002A4403" w:rsidRDefault="002A4403"/>
    <w:sectPr w:rsidR="002A4403" w:rsidSect="003D0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09EB"/>
    <w:multiLevelType w:val="multilevel"/>
    <w:tmpl w:val="6F0204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3DDC6902"/>
    <w:multiLevelType w:val="multilevel"/>
    <w:tmpl w:val="8758C8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72DA553B"/>
    <w:multiLevelType w:val="multilevel"/>
    <w:tmpl w:val="03A8AE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7EFB48B7"/>
    <w:multiLevelType w:val="multilevel"/>
    <w:tmpl w:val="9E2EBB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4AF3"/>
    <w:rsid w:val="001A57F2"/>
    <w:rsid w:val="002A4403"/>
    <w:rsid w:val="00365579"/>
    <w:rsid w:val="003D025A"/>
    <w:rsid w:val="00944AF3"/>
    <w:rsid w:val="00DA44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67905">
      <w:bodyDiv w:val="1"/>
      <w:marLeft w:val="0"/>
      <w:marRight w:val="0"/>
      <w:marTop w:val="0"/>
      <w:marBottom w:val="0"/>
      <w:divBdr>
        <w:top w:val="none" w:sz="0" w:space="0" w:color="auto"/>
        <w:left w:val="none" w:sz="0" w:space="0" w:color="auto"/>
        <w:bottom w:val="none" w:sz="0" w:space="0" w:color="auto"/>
        <w:right w:val="none" w:sz="0" w:space="0" w:color="auto"/>
      </w:divBdr>
    </w:div>
    <w:div w:id="419639139">
      <w:bodyDiv w:val="1"/>
      <w:marLeft w:val="0"/>
      <w:marRight w:val="0"/>
      <w:marTop w:val="0"/>
      <w:marBottom w:val="0"/>
      <w:divBdr>
        <w:top w:val="none" w:sz="0" w:space="0" w:color="auto"/>
        <w:left w:val="none" w:sz="0" w:space="0" w:color="auto"/>
        <w:bottom w:val="none" w:sz="0" w:space="0" w:color="auto"/>
        <w:right w:val="none" w:sz="0" w:space="0" w:color="auto"/>
      </w:divBdr>
    </w:div>
    <w:div w:id="784428182">
      <w:bodyDiv w:val="1"/>
      <w:marLeft w:val="0"/>
      <w:marRight w:val="0"/>
      <w:marTop w:val="0"/>
      <w:marBottom w:val="0"/>
      <w:divBdr>
        <w:top w:val="none" w:sz="0" w:space="0" w:color="auto"/>
        <w:left w:val="none" w:sz="0" w:space="0" w:color="auto"/>
        <w:bottom w:val="none" w:sz="0" w:space="0" w:color="auto"/>
        <w:right w:val="none" w:sz="0" w:space="0" w:color="auto"/>
      </w:divBdr>
    </w:div>
    <w:div w:id="19633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ma.org/index.cfm?fuseaction=Page.viewPage&amp;pageId=534" TargetMode="External"/><Relationship Id="rId3" Type="http://schemas.openxmlformats.org/officeDocument/2006/relationships/settings" Target="settings.xml"/><Relationship Id="rId7" Type="http://schemas.openxmlformats.org/officeDocument/2006/relationships/hyperlink" Target="https://www.winona.edu/asf/Media/Generational_Differences-Lars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iaZ-igX-DBs" TargetMode="External"/><Relationship Id="rId11" Type="http://schemas.openxmlformats.org/officeDocument/2006/relationships/theme" Target="theme/theme1.xml"/><Relationship Id="rId5" Type="http://schemas.openxmlformats.org/officeDocument/2006/relationships/hyperlink" Target="https://www.trainingjournal.com/articles/opinion/learning-development-across-gener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ata.org/faq/what-are-public-or-private-college-universitys-responsibilities-students-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2022-03-28T21:55:00Z</dcterms:created>
  <dcterms:modified xsi:type="dcterms:W3CDTF">2022-03-28T22:32:00Z</dcterms:modified>
</cp:coreProperties>
</file>