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DEDF" w14:textId="77777777" w:rsidR="00EE065E" w:rsidRPr="00EE065E" w:rsidRDefault="00EE065E" w:rsidP="00A962EE">
      <w:pPr>
        <w:spacing w:line="360" w:lineRule="auto"/>
        <w:rPr>
          <w:rFonts w:ascii="Times New Roman" w:hAnsi="Times New Roman" w:cs="Times New Roman"/>
          <w:i/>
          <w:iCs/>
        </w:rPr>
      </w:pPr>
      <w:r w:rsidRPr="00EE065E">
        <w:rPr>
          <w:rFonts w:ascii="Times New Roman" w:hAnsi="Times New Roman" w:cs="Times New Roman"/>
          <w:i/>
          <w:iCs/>
        </w:rPr>
        <w:t>In 2014, the Grand Chamber of the European Court of Human Rights (ECtHR) found in the case of S.A.S. v. France that the French Law prohibiting facial concealment in public spaces (</w:t>
      </w:r>
      <w:proofErr w:type="gramStart"/>
      <w:r w:rsidRPr="00EE065E">
        <w:rPr>
          <w:rFonts w:ascii="Times New Roman" w:hAnsi="Times New Roman" w:cs="Times New Roman"/>
          <w:i/>
          <w:iCs/>
        </w:rPr>
        <w:t>i.e.</w:t>
      </w:r>
      <w:proofErr w:type="gramEnd"/>
      <w:r w:rsidRPr="00EE065E">
        <w:rPr>
          <w:rFonts w:ascii="Times New Roman" w:hAnsi="Times New Roman" w:cs="Times New Roman"/>
          <w:i/>
          <w:iCs/>
        </w:rPr>
        <w:t xml:space="preserve"> introducing a ‘burqa ban’) did not violate either the applicant’s freedom of religion or the prohibition of discrimination. By contrast, in 2018 in the very similar case of </w:t>
      </w:r>
      <w:proofErr w:type="spellStart"/>
      <w:r w:rsidRPr="00EE065E">
        <w:rPr>
          <w:rFonts w:ascii="Times New Roman" w:hAnsi="Times New Roman" w:cs="Times New Roman"/>
          <w:i/>
          <w:iCs/>
        </w:rPr>
        <w:t>Yaker</w:t>
      </w:r>
      <w:proofErr w:type="spellEnd"/>
      <w:r w:rsidRPr="00EE065E">
        <w:rPr>
          <w:rFonts w:ascii="Times New Roman" w:hAnsi="Times New Roman" w:cs="Times New Roman"/>
          <w:i/>
          <w:iCs/>
        </w:rPr>
        <w:t xml:space="preserve"> v. France, the UN Human Rights Committee (HRC) came to the conclusion that the two rights had been violated. </w:t>
      </w:r>
      <w:r w:rsidRPr="00EE065E">
        <w:rPr>
          <w:rFonts w:ascii="Times New Roman" w:hAnsi="Times New Roman" w:cs="Times New Roman"/>
          <w:b/>
          <w:bCs/>
          <w:i/>
          <w:iCs/>
        </w:rPr>
        <w:t>How did these two human rights bodies reach such different conclusions in similar cases?</w:t>
      </w:r>
    </w:p>
    <w:p w14:paraId="0115FEDC" w14:textId="77777777" w:rsidR="00EE065E" w:rsidRPr="00EE065E" w:rsidRDefault="00EE065E" w:rsidP="00A962EE">
      <w:pPr>
        <w:spacing w:line="360" w:lineRule="auto"/>
        <w:rPr>
          <w:rFonts w:ascii="Times New Roman" w:hAnsi="Times New Roman" w:cs="Times New Roman"/>
          <w:i/>
          <w:iCs/>
        </w:rPr>
      </w:pPr>
      <w:r w:rsidRPr="00EE065E">
        <w:rPr>
          <w:rFonts w:ascii="Times New Roman" w:hAnsi="Times New Roman" w:cs="Times New Roman"/>
          <w:i/>
          <w:iCs/>
        </w:rPr>
        <w:br/>
      </w:r>
      <w:r w:rsidRPr="00EE065E">
        <w:rPr>
          <w:rFonts w:ascii="Times New Roman" w:hAnsi="Times New Roman" w:cs="Times New Roman"/>
          <w:b/>
          <w:bCs/>
          <w:i/>
          <w:iCs/>
          <w:color w:val="FF0000"/>
        </w:rPr>
        <w:t>Assignment</w:t>
      </w:r>
      <w:r w:rsidRPr="00EE065E">
        <w:rPr>
          <w:rFonts w:ascii="Times New Roman" w:hAnsi="Times New Roman" w:cs="Times New Roman"/>
          <w:i/>
          <w:iCs/>
        </w:rPr>
        <w:br/>
        <w:t xml:space="preserve">Compare and contrast S.A.S. with </w:t>
      </w:r>
      <w:proofErr w:type="spellStart"/>
      <w:r w:rsidRPr="00EE065E">
        <w:rPr>
          <w:rFonts w:ascii="Times New Roman" w:hAnsi="Times New Roman" w:cs="Times New Roman"/>
          <w:i/>
          <w:iCs/>
        </w:rPr>
        <w:t>Yaker</w:t>
      </w:r>
      <w:proofErr w:type="spellEnd"/>
      <w:r w:rsidRPr="00EE065E">
        <w:rPr>
          <w:rFonts w:ascii="Times New Roman" w:hAnsi="Times New Roman" w:cs="Times New Roman"/>
          <w:i/>
          <w:iCs/>
        </w:rPr>
        <w:t>. There is no need to summarize the cases. Instead, isolate the key ways in which the HRC’s approach to freedom of religion diverged from the ECtHR’s. Consider particularly the level of deference to the State afforded by each body, and their diverging approaches to the legitimate aim requirement.</w:t>
      </w:r>
    </w:p>
    <w:p w14:paraId="5C078A1D" w14:textId="77777777" w:rsidR="00EE065E" w:rsidRPr="00EE065E" w:rsidRDefault="00EE065E" w:rsidP="00A962EE">
      <w:pPr>
        <w:spacing w:line="360" w:lineRule="auto"/>
        <w:rPr>
          <w:rFonts w:ascii="Times New Roman" w:hAnsi="Times New Roman" w:cs="Times New Roman"/>
          <w:i/>
          <w:iCs/>
        </w:rPr>
      </w:pPr>
      <w:r w:rsidRPr="00EE065E">
        <w:rPr>
          <w:rFonts w:ascii="Times New Roman" w:hAnsi="Times New Roman" w:cs="Times New Roman"/>
          <w:i/>
          <w:iCs/>
        </w:rPr>
        <w:t>Reading materials for assignment:</w:t>
      </w:r>
      <w:r w:rsidRPr="00EE065E">
        <w:rPr>
          <w:rFonts w:ascii="Times New Roman" w:hAnsi="Times New Roman" w:cs="Times New Roman"/>
          <w:i/>
          <w:iCs/>
        </w:rPr>
        <w:br/>
        <w:t>• Lecture (slides).</w:t>
      </w:r>
    </w:p>
    <w:p w14:paraId="284A6FF3" w14:textId="77777777" w:rsidR="00EE065E" w:rsidRPr="00EE065E" w:rsidRDefault="00EE065E" w:rsidP="00A962EE">
      <w:pPr>
        <w:spacing w:line="360" w:lineRule="auto"/>
        <w:rPr>
          <w:rFonts w:ascii="Times New Roman" w:hAnsi="Times New Roman" w:cs="Times New Roman"/>
          <w:i/>
          <w:iCs/>
        </w:rPr>
      </w:pPr>
      <w:r w:rsidRPr="00EE065E">
        <w:rPr>
          <w:rFonts w:ascii="Times New Roman" w:hAnsi="Times New Roman" w:cs="Times New Roman"/>
          <w:i/>
          <w:iCs/>
        </w:rPr>
        <w:br/>
        <w:t>• HRC, General Comment No. 22, Art. 18. Freedom of thought, conscience and religion, 27 September 1993, CCPR/C/21/Rev.1/Add.4</w:t>
      </w:r>
    </w:p>
    <w:p w14:paraId="4AB588F4" w14:textId="77777777" w:rsidR="00EE065E" w:rsidRPr="00EE065E" w:rsidRDefault="00EE065E" w:rsidP="00A962EE">
      <w:pPr>
        <w:spacing w:line="360" w:lineRule="auto"/>
        <w:rPr>
          <w:rFonts w:ascii="Times New Roman" w:hAnsi="Times New Roman" w:cs="Times New Roman"/>
          <w:i/>
          <w:iCs/>
        </w:rPr>
      </w:pPr>
      <w:r w:rsidRPr="00EE065E">
        <w:rPr>
          <w:rFonts w:ascii="Times New Roman" w:hAnsi="Times New Roman" w:cs="Times New Roman"/>
          <w:i/>
          <w:iCs/>
        </w:rPr>
        <w:t>• ECtHR, Case of S.A.S. v. France, Application No. 43835/11, 1 July 2014.</w:t>
      </w:r>
    </w:p>
    <w:p w14:paraId="3153E404" w14:textId="77777777" w:rsidR="00EE065E" w:rsidRPr="00EE065E" w:rsidRDefault="00EE065E" w:rsidP="00A962EE">
      <w:pPr>
        <w:spacing w:line="360" w:lineRule="auto"/>
        <w:rPr>
          <w:rFonts w:ascii="Times New Roman" w:hAnsi="Times New Roman" w:cs="Times New Roman"/>
          <w:i/>
          <w:iCs/>
        </w:rPr>
      </w:pPr>
      <w:r w:rsidRPr="00EE065E">
        <w:rPr>
          <w:rFonts w:ascii="Times New Roman" w:hAnsi="Times New Roman" w:cs="Times New Roman"/>
          <w:i/>
          <w:iCs/>
        </w:rPr>
        <w:br/>
        <w:t xml:space="preserve">• HRC, Comm. No. 2747/2016, </w:t>
      </w:r>
      <w:proofErr w:type="spellStart"/>
      <w:r w:rsidRPr="00EE065E">
        <w:rPr>
          <w:rFonts w:ascii="Times New Roman" w:hAnsi="Times New Roman" w:cs="Times New Roman"/>
          <w:i/>
          <w:iCs/>
        </w:rPr>
        <w:t>Yaker</w:t>
      </w:r>
      <w:proofErr w:type="spellEnd"/>
      <w:r w:rsidRPr="00EE065E">
        <w:rPr>
          <w:rFonts w:ascii="Times New Roman" w:hAnsi="Times New Roman" w:cs="Times New Roman"/>
          <w:i/>
          <w:iCs/>
        </w:rPr>
        <w:t xml:space="preserve"> v. France, decision of 17 July 2018.</w:t>
      </w:r>
    </w:p>
    <w:p w14:paraId="302B68DD" w14:textId="38A9707B" w:rsidR="00EE065E" w:rsidRPr="00EE065E" w:rsidRDefault="00EE065E" w:rsidP="00A962EE">
      <w:pPr>
        <w:spacing w:line="360" w:lineRule="auto"/>
        <w:rPr>
          <w:rFonts w:ascii="Times New Roman" w:hAnsi="Times New Roman" w:cs="Times New Roman"/>
          <w:i/>
          <w:iCs/>
        </w:rPr>
      </w:pPr>
      <w:r w:rsidRPr="00EE065E">
        <w:rPr>
          <w:rFonts w:ascii="Times New Roman" w:hAnsi="Times New Roman" w:cs="Times New Roman"/>
          <w:i/>
          <w:iCs/>
        </w:rPr>
        <w:br/>
        <w:t xml:space="preserve">• Stephanie Berry, ‘The UN Human Rights Committee Disagrees with the European Court of Human Rights Again: The Right to Manifest Religion by Wearing a Burqa’, </w:t>
      </w:r>
      <w:proofErr w:type="spellStart"/>
      <w:proofErr w:type="gramStart"/>
      <w:r w:rsidRPr="00EE065E">
        <w:rPr>
          <w:rFonts w:ascii="Times New Roman" w:hAnsi="Times New Roman" w:cs="Times New Roman"/>
          <w:i/>
          <w:iCs/>
        </w:rPr>
        <w:t>EJIL:Talk</w:t>
      </w:r>
      <w:proofErr w:type="spellEnd"/>
      <w:proofErr w:type="gramEnd"/>
      <w:r w:rsidRPr="00EE065E">
        <w:rPr>
          <w:rFonts w:ascii="Times New Roman" w:hAnsi="Times New Roman" w:cs="Times New Roman"/>
          <w:i/>
          <w:iCs/>
        </w:rPr>
        <w:t>! Blog, 3 January 2019, https://tinyurl.com/y3yljne8.</w:t>
      </w:r>
    </w:p>
    <w:p w14:paraId="573DF73F" w14:textId="77777777" w:rsidR="00D15BD5" w:rsidRPr="00A962EE" w:rsidRDefault="00D15BD5" w:rsidP="00A962EE">
      <w:pPr>
        <w:spacing w:line="360" w:lineRule="auto"/>
        <w:rPr>
          <w:rFonts w:ascii="Times New Roman" w:hAnsi="Times New Roman" w:cs="Times New Roman"/>
          <w:i/>
          <w:iCs/>
        </w:rPr>
      </w:pPr>
    </w:p>
    <w:sectPr w:rsidR="00D15BD5" w:rsidRPr="00A96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wNDI3MzA1N7QwNTJW0lEKTi0uzszPAykwrAUARj6yRCwAAAA="/>
  </w:docVars>
  <w:rsids>
    <w:rsidRoot w:val="00EE065E"/>
    <w:rsid w:val="00A962EE"/>
    <w:rsid w:val="00D15BD5"/>
    <w:rsid w:val="00EE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92DA"/>
  <w15:chartTrackingRefBased/>
  <w15:docId w15:val="{5108306B-39A3-4331-AABB-7E9BD21A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49189">
      <w:bodyDiv w:val="1"/>
      <w:marLeft w:val="0"/>
      <w:marRight w:val="0"/>
      <w:marTop w:val="0"/>
      <w:marBottom w:val="0"/>
      <w:divBdr>
        <w:top w:val="none" w:sz="0" w:space="0" w:color="auto"/>
        <w:left w:val="none" w:sz="0" w:space="0" w:color="auto"/>
        <w:bottom w:val="none" w:sz="0" w:space="0" w:color="auto"/>
        <w:right w:val="none" w:sz="0" w:space="0" w:color="auto"/>
      </w:divBdr>
      <w:divsChild>
        <w:div w:id="77869022">
          <w:marLeft w:val="0"/>
          <w:marRight w:val="0"/>
          <w:marTop w:val="0"/>
          <w:marBottom w:val="0"/>
          <w:divBdr>
            <w:top w:val="none" w:sz="0" w:space="0" w:color="auto"/>
            <w:left w:val="none" w:sz="0" w:space="0" w:color="auto"/>
            <w:bottom w:val="none" w:sz="0" w:space="0" w:color="auto"/>
            <w:right w:val="none" w:sz="0" w:space="0" w:color="auto"/>
          </w:divBdr>
        </w:div>
        <w:div w:id="2095860964">
          <w:marLeft w:val="0"/>
          <w:marRight w:val="0"/>
          <w:marTop w:val="0"/>
          <w:marBottom w:val="0"/>
          <w:divBdr>
            <w:top w:val="none" w:sz="0" w:space="0" w:color="auto"/>
            <w:left w:val="none" w:sz="0" w:space="0" w:color="auto"/>
            <w:bottom w:val="none" w:sz="0" w:space="0" w:color="auto"/>
            <w:right w:val="none" w:sz="0" w:space="0" w:color="auto"/>
          </w:divBdr>
        </w:div>
        <w:div w:id="1441990649">
          <w:marLeft w:val="0"/>
          <w:marRight w:val="0"/>
          <w:marTop w:val="0"/>
          <w:marBottom w:val="0"/>
          <w:divBdr>
            <w:top w:val="none" w:sz="0" w:space="0" w:color="auto"/>
            <w:left w:val="none" w:sz="0" w:space="0" w:color="auto"/>
            <w:bottom w:val="none" w:sz="0" w:space="0" w:color="auto"/>
            <w:right w:val="none" w:sz="0" w:space="0" w:color="auto"/>
          </w:divBdr>
        </w:div>
        <w:div w:id="1530532715">
          <w:marLeft w:val="0"/>
          <w:marRight w:val="0"/>
          <w:marTop w:val="0"/>
          <w:marBottom w:val="0"/>
          <w:divBdr>
            <w:top w:val="none" w:sz="0" w:space="0" w:color="auto"/>
            <w:left w:val="none" w:sz="0" w:space="0" w:color="auto"/>
            <w:bottom w:val="none" w:sz="0" w:space="0" w:color="auto"/>
            <w:right w:val="none" w:sz="0" w:space="0" w:color="auto"/>
          </w:divBdr>
        </w:div>
        <w:div w:id="1803843079">
          <w:marLeft w:val="0"/>
          <w:marRight w:val="0"/>
          <w:marTop w:val="0"/>
          <w:marBottom w:val="0"/>
          <w:divBdr>
            <w:top w:val="none" w:sz="0" w:space="0" w:color="auto"/>
            <w:left w:val="none" w:sz="0" w:space="0" w:color="auto"/>
            <w:bottom w:val="none" w:sz="0" w:space="0" w:color="auto"/>
            <w:right w:val="none" w:sz="0" w:space="0" w:color="auto"/>
          </w:divBdr>
        </w:div>
        <w:div w:id="592320833">
          <w:marLeft w:val="0"/>
          <w:marRight w:val="0"/>
          <w:marTop w:val="0"/>
          <w:marBottom w:val="0"/>
          <w:divBdr>
            <w:top w:val="none" w:sz="0" w:space="0" w:color="auto"/>
            <w:left w:val="none" w:sz="0" w:space="0" w:color="auto"/>
            <w:bottom w:val="none" w:sz="0" w:space="0" w:color="auto"/>
            <w:right w:val="none" w:sz="0" w:space="0" w:color="auto"/>
          </w:divBdr>
        </w:div>
        <w:div w:id="1623540340">
          <w:marLeft w:val="0"/>
          <w:marRight w:val="0"/>
          <w:marTop w:val="0"/>
          <w:marBottom w:val="0"/>
          <w:divBdr>
            <w:top w:val="none" w:sz="0" w:space="0" w:color="auto"/>
            <w:left w:val="none" w:sz="0" w:space="0" w:color="auto"/>
            <w:bottom w:val="none" w:sz="0" w:space="0" w:color="auto"/>
            <w:right w:val="none" w:sz="0" w:space="0" w:color="auto"/>
          </w:divBdr>
        </w:div>
        <w:div w:id="36512874">
          <w:marLeft w:val="0"/>
          <w:marRight w:val="0"/>
          <w:marTop w:val="0"/>
          <w:marBottom w:val="0"/>
          <w:divBdr>
            <w:top w:val="none" w:sz="0" w:space="0" w:color="auto"/>
            <w:left w:val="none" w:sz="0" w:space="0" w:color="auto"/>
            <w:bottom w:val="none" w:sz="0" w:space="0" w:color="auto"/>
            <w:right w:val="none" w:sz="0" w:space="0" w:color="auto"/>
          </w:divBdr>
        </w:div>
        <w:div w:id="438377832">
          <w:marLeft w:val="0"/>
          <w:marRight w:val="0"/>
          <w:marTop w:val="0"/>
          <w:marBottom w:val="0"/>
          <w:divBdr>
            <w:top w:val="none" w:sz="0" w:space="0" w:color="auto"/>
            <w:left w:val="none" w:sz="0" w:space="0" w:color="auto"/>
            <w:bottom w:val="none" w:sz="0" w:space="0" w:color="auto"/>
            <w:right w:val="none" w:sz="0" w:space="0" w:color="auto"/>
          </w:divBdr>
        </w:div>
        <w:div w:id="1052461244">
          <w:marLeft w:val="0"/>
          <w:marRight w:val="0"/>
          <w:marTop w:val="0"/>
          <w:marBottom w:val="0"/>
          <w:divBdr>
            <w:top w:val="none" w:sz="0" w:space="0" w:color="auto"/>
            <w:left w:val="none" w:sz="0" w:space="0" w:color="auto"/>
            <w:bottom w:val="none" w:sz="0" w:space="0" w:color="auto"/>
            <w:right w:val="none" w:sz="0" w:space="0" w:color="auto"/>
          </w:divBdr>
        </w:div>
        <w:div w:id="1994336538">
          <w:marLeft w:val="0"/>
          <w:marRight w:val="0"/>
          <w:marTop w:val="0"/>
          <w:marBottom w:val="0"/>
          <w:divBdr>
            <w:top w:val="none" w:sz="0" w:space="0" w:color="auto"/>
            <w:left w:val="none" w:sz="0" w:space="0" w:color="auto"/>
            <w:bottom w:val="none" w:sz="0" w:space="0" w:color="auto"/>
            <w:right w:val="none" w:sz="0" w:space="0" w:color="auto"/>
          </w:divBdr>
        </w:div>
        <w:div w:id="1374425351">
          <w:marLeft w:val="0"/>
          <w:marRight w:val="0"/>
          <w:marTop w:val="0"/>
          <w:marBottom w:val="0"/>
          <w:divBdr>
            <w:top w:val="none" w:sz="0" w:space="0" w:color="auto"/>
            <w:left w:val="none" w:sz="0" w:space="0" w:color="auto"/>
            <w:bottom w:val="none" w:sz="0" w:space="0" w:color="auto"/>
            <w:right w:val="none" w:sz="0" w:space="0" w:color="auto"/>
          </w:divBdr>
        </w:div>
        <w:div w:id="1181046339">
          <w:marLeft w:val="0"/>
          <w:marRight w:val="0"/>
          <w:marTop w:val="0"/>
          <w:marBottom w:val="0"/>
          <w:divBdr>
            <w:top w:val="none" w:sz="0" w:space="0" w:color="auto"/>
            <w:left w:val="none" w:sz="0" w:space="0" w:color="auto"/>
            <w:bottom w:val="none" w:sz="0" w:space="0" w:color="auto"/>
            <w:right w:val="none" w:sz="0" w:space="0" w:color="auto"/>
          </w:divBdr>
        </w:div>
        <w:div w:id="195239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2022-02-23T12:26:00Z</dcterms:created>
  <dcterms:modified xsi:type="dcterms:W3CDTF">2022-02-23T12:27:00Z</dcterms:modified>
</cp:coreProperties>
</file>