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A7B9" w14:textId="77777777" w:rsidR="0004772B" w:rsidRDefault="0004772B" w:rsidP="0004772B">
      <w:r>
        <w:t>Despite the infusion of hundreds of million federal, state and local dollars there still exists a large achievement gap between children from low income and non-poor families. After studying How money matters for schools address the following issues:</w:t>
      </w:r>
    </w:p>
    <w:p w14:paraId="219CBE5C" w14:textId="77777777" w:rsidR="0004772B" w:rsidRDefault="0004772B" w:rsidP="0004772B">
      <w:proofErr w:type="spellStart"/>
      <w:r>
        <w:t>Analyze</w:t>
      </w:r>
      <w:proofErr w:type="spellEnd"/>
      <w:r>
        <w:t xml:space="preserve"> Baker’s research brief on the importance of adequate funding and share your thoughts on equity and equality with regards to students from low-income families and districts.</w:t>
      </w:r>
    </w:p>
    <w:p w14:paraId="153F939C" w14:textId="77777777" w:rsidR="0004772B" w:rsidRDefault="0004772B" w:rsidP="0004772B">
      <w:r>
        <w:t>Does your state education finance plan allocate additional funds to districts and schools who service students from low-income communities?</w:t>
      </w:r>
    </w:p>
    <w:p w14:paraId="430E8663" w14:textId="77777777" w:rsidR="0004772B" w:rsidRDefault="0004772B" w:rsidP="0004772B">
      <w:r>
        <w:t>You are a principal of a low-performing school in a poverty-stricken community. At your July budget conference, you received an unexpected $250,000.00 from your district’s discretionary budget. How would you spend these additional funds to ensure improved student achievement and a significant return on the district’s investment?</w:t>
      </w:r>
    </w:p>
    <w:p w14:paraId="0BF07CB0" w14:textId="1F465F14" w:rsidR="00D15BD5" w:rsidRDefault="0004772B" w:rsidP="0004772B">
      <w:r>
        <w:t>APA format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TCxtDQztjC2sDBU0lEKTi0uzszPAykwrAUA9NiT5ywAAAA="/>
  </w:docVars>
  <w:rsids>
    <w:rsidRoot w:val="0004772B"/>
    <w:rsid w:val="0004772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E9BB"/>
  <w15:chartTrackingRefBased/>
  <w15:docId w15:val="{1D493980-5AF4-4FF6-B7FF-5953EFF5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2021-11-15T11:48:00Z</dcterms:created>
  <dcterms:modified xsi:type="dcterms:W3CDTF">2021-11-15T11:48:00Z</dcterms:modified>
</cp:coreProperties>
</file>